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83EBF" w:rsidRPr="00DF6045" w14:paraId="1821EB36" w14:textId="77777777" w:rsidTr="00DD375E"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374A15" w14:textId="77777777" w:rsidR="00583EBF" w:rsidRPr="00DD375E" w:rsidRDefault="00583EBF" w:rsidP="00DD375E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DD375E">
              <w:rPr>
                <w:b/>
                <w:bCs/>
                <w:color w:val="000000" w:themeColor="text1"/>
                <w:sz w:val="28"/>
              </w:rPr>
              <w:t>PROJET D’EVALUATION</w:t>
            </w:r>
          </w:p>
        </w:tc>
      </w:tr>
    </w:tbl>
    <w:p w14:paraId="68493973" w14:textId="77777777" w:rsidR="00583EBF" w:rsidRDefault="00583EBF" w:rsidP="00583EBF">
      <w:pPr>
        <w:pStyle w:val="Sansinterligne"/>
        <w:jc w:val="center"/>
        <w:rPr>
          <w:b/>
          <w:bCs/>
        </w:rPr>
      </w:pPr>
    </w:p>
    <w:p w14:paraId="5C2DF1E1" w14:textId="77777777" w:rsidR="00EC6519" w:rsidRDefault="00EC6519" w:rsidP="00EC6519">
      <w:pPr>
        <w:pStyle w:val="Sansinterligne"/>
        <w:spacing w:after="120"/>
        <w:jc w:val="both"/>
      </w:pPr>
      <w:r w:rsidRPr="00DF6045">
        <w:t xml:space="preserve">Ce projet d’évaluation </w:t>
      </w:r>
      <w:r w:rsidR="00746DAE">
        <w:t>permet d’apporter</w:t>
      </w:r>
      <w:r>
        <w:t xml:space="preserve"> un cadre général à </w:t>
      </w:r>
      <w:r w:rsidRPr="00DF6045">
        <w:t xml:space="preserve">l’évaluation </w:t>
      </w:r>
      <w:r>
        <w:t>des élèves</w:t>
      </w:r>
      <w:r w:rsidRPr="00DF6045">
        <w:t xml:space="preserve"> du lycée Notre-Dame de la Merci, de la classe de Seconde à la classe de Terminale.</w:t>
      </w:r>
      <w:r>
        <w:t xml:space="preserve"> </w:t>
      </w:r>
      <w:r w:rsidRPr="00DF6045">
        <w:t xml:space="preserve">Il s’inscrit dans la réforme du lycée </w:t>
      </w:r>
      <w:r w:rsidRPr="00746DAE">
        <w:rPr>
          <w:b/>
        </w:rPr>
        <w:t xml:space="preserve">et </w:t>
      </w:r>
      <w:r w:rsidR="00746DAE" w:rsidRPr="00746DAE">
        <w:rPr>
          <w:b/>
        </w:rPr>
        <w:t>conformément aux</w:t>
      </w:r>
      <w:r w:rsidRPr="00746DAE">
        <w:rPr>
          <w:b/>
        </w:rPr>
        <w:t xml:space="preserve"> directives du B</w:t>
      </w:r>
      <w:r w:rsidR="00B77BA4" w:rsidRPr="00746DAE">
        <w:rPr>
          <w:b/>
        </w:rPr>
        <w:t xml:space="preserve">ulletin </w:t>
      </w:r>
      <w:r w:rsidRPr="00746DAE">
        <w:rPr>
          <w:b/>
        </w:rPr>
        <w:t>O</w:t>
      </w:r>
      <w:r w:rsidR="00B77BA4" w:rsidRPr="00746DAE">
        <w:rPr>
          <w:b/>
        </w:rPr>
        <w:t>fficiel de l’Education National</w:t>
      </w:r>
      <w:r w:rsidR="00C53DEF" w:rsidRPr="00746DAE">
        <w:rPr>
          <w:b/>
        </w:rPr>
        <w:t>e</w:t>
      </w:r>
      <w:r w:rsidRPr="00746DAE">
        <w:rPr>
          <w:b/>
        </w:rPr>
        <w:t xml:space="preserve"> n°30 du 29 juillet 2021</w:t>
      </w:r>
      <w:r w:rsidRPr="00DF6045">
        <w:t xml:space="preserve"> portant sur les modalités d’évaluation des candidats à compter de la session</w:t>
      </w:r>
      <w:r w:rsidR="00B77BA4">
        <w:t xml:space="preserve"> </w:t>
      </w:r>
      <w:r w:rsidRPr="00DF6045">
        <w:t>2022</w:t>
      </w:r>
      <w:r w:rsidR="00B77BA4">
        <w:t xml:space="preserve"> du baccalauréat</w:t>
      </w:r>
      <w:r w:rsidRPr="00DF6045">
        <w:t>.</w:t>
      </w:r>
    </w:p>
    <w:p w14:paraId="69A51D4D" w14:textId="77777777" w:rsidR="00EC6519" w:rsidRPr="00615B5E" w:rsidRDefault="00EC6519" w:rsidP="00EC6519">
      <w:pPr>
        <w:pStyle w:val="Sansinterligne"/>
        <w:jc w:val="both"/>
      </w:pPr>
      <w:r>
        <w:t>Il permet</w:t>
      </w:r>
      <w:r w:rsidRPr="00615B5E">
        <w:t xml:space="preserve"> de communiquer aux élèves et aux familles les principes communs adoptés par les équipes enseignantes du lycée Notre-Dame de la Merci</w:t>
      </w:r>
      <w:r>
        <w:t xml:space="preserve"> et </w:t>
      </w:r>
      <w:r w:rsidRPr="00615B5E">
        <w:t>vise notamment à harmoniser les pratiques afin de répondre à une quadruple exigence :</w:t>
      </w:r>
    </w:p>
    <w:p w14:paraId="7E6207A2" w14:textId="77777777" w:rsidR="00EC6519" w:rsidRPr="00615B5E" w:rsidRDefault="00A02707" w:rsidP="00EC6519">
      <w:pPr>
        <w:pStyle w:val="Sansinterligne"/>
        <w:numPr>
          <w:ilvl w:val="0"/>
          <w:numId w:val="2"/>
        </w:numPr>
        <w:jc w:val="both"/>
      </w:pPr>
      <w:proofErr w:type="gramStart"/>
      <w:r>
        <w:t>maintenir</w:t>
      </w:r>
      <w:proofErr w:type="gramEnd"/>
      <w:r>
        <w:t xml:space="preserve"> </w:t>
      </w:r>
      <w:r w:rsidR="00EC6519" w:rsidRPr="00615B5E">
        <w:t>un niveau de connaissances et de compétences correspondant aux exigences du diplôme baccalauréat et permettant la réussite de nos élèves dans l’enseignement supérieur ;</w:t>
      </w:r>
    </w:p>
    <w:p w14:paraId="11CBCAF0" w14:textId="77777777" w:rsidR="00EC6519" w:rsidRPr="00615B5E" w:rsidRDefault="00EC6519" w:rsidP="00EC6519">
      <w:pPr>
        <w:pStyle w:val="Sansinterligne"/>
        <w:numPr>
          <w:ilvl w:val="0"/>
          <w:numId w:val="2"/>
        </w:numPr>
        <w:jc w:val="both"/>
        <w:rPr>
          <w:bCs/>
        </w:rPr>
      </w:pPr>
      <w:proofErr w:type="gramStart"/>
      <w:r w:rsidRPr="00615B5E">
        <w:rPr>
          <w:bCs/>
        </w:rPr>
        <w:t>donner</w:t>
      </w:r>
      <w:proofErr w:type="gramEnd"/>
      <w:r w:rsidRPr="00615B5E">
        <w:rPr>
          <w:bCs/>
        </w:rPr>
        <w:t xml:space="preserve"> de la cohérence aux pratiques évaluatives ;</w:t>
      </w:r>
    </w:p>
    <w:p w14:paraId="5235210B" w14:textId="77777777" w:rsidR="00EC6519" w:rsidRPr="00615B5E" w:rsidRDefault="00EC6519" w:rsidP="00EC6519">
      <w:pPr>
        <w:pStyle w:val="Sansinterligne"/>
        <w:numPr>
          <w:ilvl w:val="0"/>
          <w:numId w:val="2"/>
        </w:numPr>
        <w:jc w:val="both"/>
        <w:rPr>
          <w:bCs/>
        </w:rPr>
      </w:pPr>
      <w:proofErr w:type="gramStart"/>
      <w:r w:rsidRPr="00615B5E">
        <w:rPr>
          <w:bCs/>
        </w:rPr>
        <w:t>garantir</w:t>
      </w:r>
      <w:proofErr w:type="gramEnd"/>
      <w:r w:rsidRPr="00615B5E">
        <w:rPr>
          <w:bCs/>
        </w:rPr>
        <w:t xml:space="preserve"> l’égalité de traitement des élèves d’un même niveau de classe ;</w:t>
      </w:r>
    </w:p>
    <w:p w14:paraId="5B418440" w14:textId="77777777" w:rsidR="00EC6519" w:rsidRPr="00E22C59" w:rsidRDefault="00EC6519" w:rsidP="00EC6519">
      <w:pPr>
        <w:pStyle w:val="Sansinterligne"/>
        <w:numPr>
          <w:ilvl w:val="0"/>
          <w:numId w:val="2"/>
        </w:numPr>
        <w:jc w:val="both"/>
        <w:rPr>
          <w:bCs/>
        </w:rPr>
      </w:pPr>
      <w:proofErr w:type="gramStart"/>
      <w:r w:rsidRPr="00615B5E">
        <w:rPr>
          <w:bCs/>
        </w:rPr>
        <w:t>faire</w:t>
      </w:r>
      <w:proofErr w:type="gramEnd"/>
      <w:r w:rsidRPr="00615B5E">
        <w:rPr>
          <w:bCs/>
        </w:rPr>
        <w:t xml:space="preserve"> preuve de transparence et construire un dialogue serein avec les élèves et leur famille.</w:t>
      </w:r>
    </w:p>
    <w:p w14:paraId="7B7B829C" w14:textId="77777777" w:rsidR="00A02707" w:rsidRDefault="00A02707" w:rsidP="00746DAE">
      <w:pPr>
        <w:pStyle w:val="Sansinterligne"/>
        <w:spacing w:after="120"/>
        <w:jc w:val="both"/>
      </w:pPr>
    </w:p>
    <w:p w14:paraId="4C4E8213" w14:textId="77777777" w:rsidR="00B02782" w:rsidRPr="00615B5E" w:rsidRDefault="00B02782" w:rsidP="00B02782">
      <w:pPr>
        <w:pStyle w:val="Sansinterligne"/>
        <w:numPr>
          <w:ilvl w:val="0"/>
          <w:numId w:val="3"/>
        </w:numPr>
        <w:spacing w:after="120"/>
        <w:jc w:val="both"/>
        <w:rPr>
          <w:b/>
          <w:sz w:val="24"/>
        </w:rPr>
      </w:pPr>
      <w:r>
        <w:rPr>
          <w:b/>
          <w:sz w:val="24"/>
        </w:rPr>
        <w:t>Organisation annuelle</w:t>
      </w:r>
    </w:p>
    <w:p w14:paraId="7AE0DFDA" w14:textId="77777777" w:rsidR="00B02782" w:rsidRDefault="00B02782" w:rsidP="00C53DEF">
      <w:pPr>
        <w:pStyle w:val="Sansinterligne"/>
        <w:jc w:val="both"/>
      </w:pPr>
      <w:r>
        <w:t xml:space="preserve">Le lycée a fait le choix d’une organisation semestrielle </w:t>
      </w:r>
      <w:r w:rsidR="005A012A">
        <w:t>en Seconde et Première</w:t>
      </w:r>
      <w:r>
        <w:t xml:space="preserve">. Cela nous paraît </w:t>
      </w:r>
      <w:r w:rsidR="00746DAE">
        <w:t xml:space="preserve">adapté </w:t>
      </w:r>
      <w:r>
        <w:t xml:space="preserve">pour </w:t>
      </w:r>
      <w:r w:rsidR="00746DAE">
        <w:t>plusieurs</w:t>
      </w:r>
      <w:r>
        <w:t xml:space="preserve"> raisons. Le semestre, plus long que le trimestre, laisse davantage de temps à l’élève pour prendre ses marques et progresser. Il permet de réaliser davantage d’évaluations, de prendre compte des compétences plus variées et d’établir une moyenne plus significative.</w:t>
      </w:r>
      <w:r w:rsidR="005A012A">
        <w:t xml:space="preserve"> </w:t>
      </w:r>
      <w:r>
        <w:t>Les deux conseils de classes de fin de semestre sont complétés par des conseils de professeurs (</w:t>
      </w:r>
      <w:r w:rsidR="005A012A">
        <w:t>novembre</w:t>
      </w:r>
      <w:r>
        <w:t>)</w:t>
      </w:r>
      <w:r w:rsidR="005A012A">
        <w:t>, des rendez-vous parents-professeurs (décembre)</w:t>
      </w:r>
      <w:r>
        <w:t xml:space="preserve"> et des conseils d’orientation (mars) afin d</w:t>
      </w:r>
      <w:r w:rsidR="005A012A">
        <w:t>e garantir le suivi et l’accompagnement des</w:t>
      </w:r>
      <w:r>
        <w:t xml:space="preserve"> élèves.</w:t>
      </w:r>
    </w:p>
    <w:p w14:paraId="1FF89CF1" w14:textId="77777777" w:rsidR="005A012A" w:rsidRDefault="005A012A" w:rsidP="00C53DEF">
      <w:pPr>
        <w:pStyle w:val="Sansinterligne"/>
        <w:jc w:val="both"/>
      </w:pPr>
    </w:p>
    <w:p w14:paraId="1FA98F03" w14:textId="77777777" w:rsidR="005A012A" w:rsidRDefault="005A012A" w:rsidP="00C53DEF">
      <w:pPr>
        <w:pStyle w:val="Sansinterligne"/>
        <w:jc w:val="both"/>
      </w:pPr>
      <w:r>
        <w:t xml:space="preserve">En Terminale, l’organisation annuelle est trimestrielle. Cela est plus cohérent avec le calendrier de </w:t>
      </w:r>
      <w:proofErr w:type="spellStart"/>
      <w:r>
        <w:t>Parcoursup</w:t>
      </w:r>
      <w:proofErr w:type="spellEnd"/>
      <w:r>
        <w:t xml:space="preserve"> en permettant notamment aux élèves de disposer de leurs deux premiers bulletins dans leur dossier. Les éventuels progrès sont donc plus visibles.</w:t>
      </w:r>
    </w:p>
    <w:p w14:paraId="46E0282D" w14:textId="77777777" w:rsidR="00B02782" w:rsidRDefault="00B02782" w:rsidP="00746DAE">
      <w:pPr>
        <w:pStyle w:val="Sansinterligne"/>
        <w:spacing w:after="120"/>
        <w:jc w:val="both"/>
      </w:pPr>
    </w:p>
    <w:p w14:paraId="20722822" w14:textId="77777777" w:rsidR="00EC6519" w:rsidRPr="00615B5E" w:rsidRDefault="00EC6519" w:rsidP="00EC6519">
      <w:pPr>
        <w:pStyle w:val="Sansinterligne"/>
        <w:numPr>
          <w:ilvl w:val="0"/>
          <w:numId w:val="3"/>
        </w:numPr>
        <w:jc w:val="both"/>
        <w:rPr>
          <w:b/>
          <w:sz w:val="24"/>
        </w:rPr>
      </w:pPr>
      <w:r w:rsidRPr="00615B5E">
        <w:rPr>
          <w:b/>
          <w:sz w:val="24"/>
        </w:rPr>
        <w:t>Calcul de la note obtenue au baccalauréat</w:t>
      </w:r>
    </w:p>
    <w:p w14:paraId="567A5566" w14:textId="77777777" w:rsidR="00EC6519" w:rsidRPr="00DF6045" w:rsidRDefault="00C53DEF" w:rsidP="00EC6519">
      <w:pPr>
        <w:pStyle w:val="Sansinterligne"/>
        <w:spacing w:before="120" w:after="120"/>
        <w:jc w:val="both"/>
      </w:pPr>
      <w:r w:rsidRPr="00D95E57">
        <w:t>Le baccalauréat</w:t>
      </w:r>
      <w:r>
        <w:t xml:space="preserve"> s</w:t>
      </w:r>
      <w:r w:rsidR="00746DAE">
        <w:t>’appui</w:t>
      </w:r>
      <w:r>
        <w:t>e</w:t>
      </w:r>
      <w:r w:rsidR="00746DAE">
        <w:t xml:space="preserve"> sur les résultats obtenus tout au long de l’année de Première et de Terminale selon deux modalités d’évaluation </w:t>
      </w:r>
      <w:r w:rsidR="00EC6519" w:rsidRPr="00DF6045">
        <w:t>:</w:t>
      </w:r>
      <w:r w:rsidR="00746DAE">
        <w:t xml:space="preserve"> </w:t>
      </w:r>
      <w:r w:rsidR="005A012A">
        <w:t>le</w:t>
      </w:r>
      <w:r w:rsidR="00746DAE">
        <w:t xml:space="preserve"> contrôle continu et </w:t>
      </w:r>
      <w:r w:rsidR="005A012A">
        <w:t>l</w:t>
      </w:r>
      <w:r w:rsidR="00746DAE">
        <w:t>es épreuves terminales.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04"/>
        <w:gridCol w:w="4704"/>
      </w:tblGrid>
      <w:tr w:rsidR="00EC6519" w:rsidRPr="00DF6045" w14:paraId="650D12FF" w14:textId="77777777" w:rsidTr="00EB6ECA">
        <w:trPr>
          <w:jc w:val="center"/>
        </w:trPr>
        <w:tc>
          <w:tcPr>
            <w:tcW w:w="4704" w:type="dxa"/>
            <w:vAlign w:val="center"/>
          </w:tcPr>
          <w:p w14:paraId="2E2B1AF9" w14:textId="77777777" w:rsidR="00EC6519" w:rsidRPr="00DF6045" w:rsidRDefault="00EC6519" w:rsidP="00EB6ECA">
            <w:pPr>
              <w:pStyle w:val="Sansinterligne"/>
              <w:jc w:val="center"/>
              <w:rPr>
                <w:b/>
              </w:rPr>
            </w:pPr>
            <w:r w:rsidRPr="00DF6045">
              <w:rPr>
                <w:b/>
              </w:rPr>
              <w:t>Contrôle continu</w:t>
            </w:r>
          </w:p>
        </w:tc>
        <w:tc>
          <w:tcPr>
            <w:tcW w:w="4704" w:type="dxa"/>
            <w:vAlign w:val="center"/>
          </w:tcPr>
          <w:p w14:paraId="46B69208" w14:textId="77777777" w:rsidR="00EC6519" w:rsidRPr="00DF6045" w:rsidRDefault="00EC6519" w:rsidP="00EB6ECA">
            <w:pPr>
              <w:pStyle w:val="Sansinterligne"/>
              <w:jc w:val="center"/>
              <w:rPr>
                <w:b/>
              </w:rPr>
            </w:pPr>
            <w:r w:rsidRPr="00DF6045">
              <w:rPr>
                <w:b/>
              </w:rPr>
              <w:t>Epreuves terminales</w:t>
            </w:r>
          </w:p>
        </w:tc>
      </w:tr>
      <w:tr w:rsidR="00EC6519" w:rsidRPr="00DF6045" w14:paraId="17B93B32" w14:textId="77777777" w:rsidTr="00EB6ECA">
        <w:trPr>
          <w:jc w:val="center"/>
        </w:trPr>
        <w:tc>
          <w:tcPr>
            <w:tcW w:w="4704" w:type="dxa"/>
            <w:vAlign w:val="center"/>
          </w:tcPr>
          <w:p w14:paraId="419EB586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Entre 40 et 54 coefficients selon le nombre d’options facultatives suivies</w:t>
            </w:r>
            <w:r w:rsidR="00746DAE">
              <w:t xml:space="preserve"> (soit entre 40% et 47% de la note finale)</w:t>
            </w:r>
          </w:p>
        </w:tc>
        <w:tc>
          <w:tcPr>
            <w:tcW w:w="4704" w:type="dxa"/>
            <w:vAlign w:val="center"/>
          </w:tcPr>
          <w:p w14:paraId="00A6BD4F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60 coefficients</w:t>
            </w:r>
            <w:r w:rsidR="00746DAE">
              <w:t xml:space="preserve"> (soit entre 60% et 53% de la note finale)</w:t>
            </w:r>
          </w:p>
        </w:tc>
      </w:tr>
    </w:tbl>
    <w:p w14:paraId="3820A92F" w14:textId="77777777" w:rsidR="00BE43C2" w:rsidRPr="00BE43C2" w:rsidRDefault="00BE43C2" w:rsidP="00A17C36">
      <w:pPr>
        <w:pStyle w:val="Sansinterligne"/>
        <w:numPr>
          <w:ilvl w:val="1"/>
          <w:numId w:val="3"/>
        </w:numPr>
        <w:spacing w:before="240" w:after="120"/>
        <w:jc w:val="both"/>
        <w:rPr>
          <w:b/>
        </w:rPr>
      </w:pPr>
      <w:r w:rsidRPr="00BE43C2">
        <w:rPr>
          <w:b/>
        </w:rPr>
        <w:t>Contrôle continu</w:t>
      </w:r>
    </w:p>
    <w:p w14:paraId="58074202" w14:textId="77777777" w:rsidR="000429F4" w:rsidRDefault="00EC6519" w:rsidP="000429F4">
      <w:pPr>
        <w:pStyle w:val="Sansinterligne"/>
        <w:spacing w:after="120"/>
        <w:jc w:val="both"/>
      </w:pPr>
      <w:r w:rsidRPr="00DF6045">
        <w:t xml:space="preserve">Le </w:t>
      </w:r>
      <w:r w:rsidRPr="00D95E57">
        <w:t>contrôle continu, qui correspond à 40 coefficients</w:t>
      </w:r>
      <w:r w:rsidRPr="00DF6045">
        <w:rPr>
          <w:b/>
        </w:rPr>
        <w:t xml:space="preserve"> </w:t>
      </w:r>
      <w:r w:rsidRPr="00DF6045">
        <w:t xml:space="preserve">(auxquels peuvent s’ajouter des coefficients si l’élève suit un ou plusieurs enseignements </w:t>
      </w:r>
      <w:r w:rsidR="00B77BA4">
        <w:t>facultatifs</w:t>
      </w:r>
      <w:r w:rsidRPr="00DF6045">
        <w:t xml:space="preserve">), </w:t>
      </w:r>
      <w:r>
        <w:t>est calculé à partir des moyennes annuelles des</w:t>
      </w:r>
      <w:r w:rsidRPr="00DF6045">
        <w:t xml:space="preserve"> matières du tronc commun et </w:t>
      </w:r>
      <w:r>
        <w:t>de</w:t>
      </w:r>
      <w:r w:rsidRPr="00DF6045">
        <w:t xml:space="preserve"> l’enseignement de spécialité non poursuivi en </w:t>
      </w:r>
      <w:r w:rsidR="00B77BA4">
        <w:t>T</w:t>
      </w:r>
      <w:r w:rsidRPr="00DF6045">
        <w:t>erminale, selon l</w:t>
      </w:r>
      <w:r>
        <w:t>es</w:t>
      </w:r>
      <w:r w:rsidRPr="00DF6045">
        <w:t xml:space="preserve"> </w:t>
      </w:r>
      <w:r>
        <w:t>coefficients</w:t>
      </w:r>
      <w:r w:rsidRPr="00DF6045">
        <w:t xml:space="preserve"> ci-dessous</w:t>
      </w:r>
      <w:r w:rsidR="00C53DEF">
        <w:t> :</w:t>
      </w:r>
      <w:r w:rsidR="000429F4">
        <w:br w:type="page"/>
      </w:r>
    </w:p>
    <w:p w14:paraId="297C254A" w14:textId="77777777" w:rsidR="00B77BA4" w:rsidRPr="00B77BA4" w:rsidRDefault="00B77BA4" w:rsidP="00B77BA4">
      <w:pPr>
        <w:pStyle w:val="Sansinterligne"/>
        <w:numPr>
          <w:ilvl w:val="0"/>
          <w:numId w:val="6"/>
        </w:numPr>
        <w:jc w:val="both"/>
        <w:rPr>
          <w:b/>
        </w:rPr>
      </w:pPr>
      <w:r w:rsidRPr="00B77BA4">
        <w:rPr>
          <w:b/>
        </w:rPr>
        <w:lastRenderedPageBreak/>
        <w:t>Enseignements obligatoires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59"/>
        <w:gridCol w:w="2126"/>
        <w:gridCol w:w="2126"/>
        <w:gridCol w:w="2127"/>
      </w:tblGrid>
      <w:tr w:rsidR="00B77BA4" w:rsidRPr="00DF6045" w14:paraId="1255E336" w14:textId="77777777" w:rsidTr="0088747C">
        <w:trPr>
          <w:trHeight w:val="227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AF4434" w14:textId="77777777" w:rsidR="00B77BA4" w:rsidRPr="00DF6045" w:rsidRDefault="00B77BA4" w:rsidP="00EB6ECA">
            <w:pPr>
              <w:pStyle w:val="Sansinterligne"/>
              <w:jc w:val="both"/>
            </w:pP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D83AD5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Voie générale</w:t>
            </w:r>
            <w:r>
              <w:t xml:space="preserve"> et technologique</w:t>
            </w:r>
          </w:p>
        </w:tc>
      </w:tr>
      <w:tr w:rsidR="00B77BA4" w:rsidRPr="00DF6045" w14:paraId="20DB24E2" w14:textId="77777777" w:rsidTr="0088747C">
        <w:trPr>
          <w:trHeight w:val="227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FA3C54" w14:textId="77777777" w:rsidR="00B77BA4" w:rsidRPr="00DF6045" w:rsidRDefault="00B77BA4" w:rsidP="00EB6ECA">
            <w:pPr>
              <w:pStyle w:val="Sansinterligne"/>
              <w:jc w:val="both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E90E5A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Première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D85023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Terminale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872676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Total cycle</w:t>
            </w:r>
          </w:p>
        </w:tc>
      </w:tr>
      <w:tr w:rsidR="00B77BA4" w:rsidRPr="00DF6045" w14:paraId="2E7A59CA" w14:textId="77777777" w:rsidTr="0088747C">
        <w:trPr>
          <w:trHeight w:val="22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22A56E" w14:textId="77777777" w:rsidR="00B77BA4" w:rsidRPr="00DF6045" w:rsidRDefault="00B77BA4" w:rsidP="00EB6ECA">
            <w:pPr>
              <w:pStyle w:val="Sansinterligne"/>
              <w:jc w:val="both"/>
            </w:pPr>
            <w:r w:rsidRPr="00DF6045">
              <w:t xml:space="preserve">Enseignement de spécialité de </w:t>
            </w:r>
            <w:r w:rsidR="0088747C">
              <w:t>Première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130B2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25FE4C" w14:textId="77777777" w:rsidR="00B77BA4" w:rsidRPr="00DF6045" w:rsidRDefault="00B77BA4" w:rsidP="00EB6ECA">
            <w:pPr>
              <w:pStyle w:val="Sansinterligne"/>
              <w:jc w:val="center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997716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8</w:t>
            </w:r>
          </w:p>
        </w:tc>
      </w:tr>
      <w:tr w:rsidR="00B77BA4" w:rsidRPr="00DF6045" w14:paraId="13FD7512" w14:textId="77777777" w:rsidTr="0088747C">
        <w:trPr>
          <w:trHeight w:val="22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D36936" w14:textId="77777777" w:rsidR="00B77BA4" w:rsidRPr="00DF6045" w:rsidRDefault="00B77BA4" w:rsidP="00B77BA4">
            <w:pPr>
              <w:pStyle w:val="Sansinterligne"/>
            </w:pPr>
            <w:r w:rsidRPr="00DF6045">
              <w:t>Histoire-Géographie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77F364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C114B3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43FAE8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6</w:t>
            </w:r>
          </w:p>
        </w:tc>
      </w:tr>
      <w:tr w:rsidR="00B77BA4" w:rsidRPr="00DF6045" w14:paraId="2A092F92" w14:textId="77777777" w:rsidTr="0088747C">
        <w:trPr>
          <w:trHeight w:val="22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80DE65" w14:textId="77777777" w:rsidR="00B77BA4" w:rsidRPr="00DF6045" w:rsidRDefault="00B77BA4" w:rsidP="00EB6ECA">
            <w:pPr>
              <w:pStyle w:val="Sansinterligne"/>
              <w:jc w:val="both"/>
            </w:pPr>
            <w:r w:rsidRPr="00DF6045">
              <w:t>Langue vivante 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E0C4FF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F251A9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33B73C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6</w:t>
            </w:r>
          </w:p>
        </w:tc>
      </w:tr>
      <w:tr w:rsidR="00B77BA4" w:rsidRPr="00DF6045" w14:paraId="5384D9B1" w14:textId="77777777" w:rsidTr="0088747C">
        <w:trPr>
          <w:trHeight w:val="22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72C569" w14:textId="77777777" w:rsidR="00B77BA4" w:rsidRPr="00DF6045" w:rsidRDefault="00B77BA4" w:rsidP="00EB6ECA">
            <w:pPr>
              <w:pStyle w:val="Sansinterligne"/>
              <w:jc w:val="both"/>
            </w:pPr>
            <w:r w:rsidRPr="00DF6045">
              <w:t>Langue vivante 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0C3105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C191E4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6A216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6</w:t>
            </w:r>
          </w:p>
        </w:tc>
      </w:tr>
      <w:tr w:rsidR="00B77BA4" w:rsidRPr="00DF6045" w14:paraId="54546011" w14:textId="77777777" w:rsidTr="0088747C">
        <w:trPr>
          <w:trHeight w:val="22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A041E2" w14:textId="77777777" w:rsidR="00B77BA4" w:rsidRPr="00DF6045" w:rsidRDefault="00B77BA4" w:rsidP="00EB6ECA">
            <w:pPr>
              <w:pStyle w:val="Sansinterligne"/>
              <w:jc w:val="both"/>
            </w:pPr>
            <w:r w:rsidRPr="00DF6045">
              <w:t>Enseignement scientifique (voie générale) ou mathématiques (voie technologique)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0C38C4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EAA3DA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9CA435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6</w:t>
            </w:r>
          </w:p>
        </w:tc>
      </w:tr>
      <w:tr w:rsidR="00B77BA4" w:rsidRPr="00DF6045" w14:paraId="4CCF0402" w14:textId="77777777" w:rsidTr="0088747C">
        <w:trPr>
          <w:trHeight w:val="22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F64BB6" w14:textId="77777777" w:rsidR="00B77BA4" w:rsidRPr="00DF6045" w:rsidRDefault="00B77BA4" w:rsidP="00EB6ECA">
            <w:pPr>
              <w:pStyle w:val="Sansinterligne"/>
              <w:jc w:val="both"/>
            </w:pPr>
            <w:r w:rsidRPr="00DF6045">
              <w:t>Education physique et sportive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34F4B" w14:textId="77777777" w:rsidR="00B77BA4" w:rsidRPr="00DF6045" w:rsidRDefault="00B77BA4" w:rsidP="00EB6ECA">
            <w:pPr>
              <w:pStyle w:val="Sansinterligne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C5E9B5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A38916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6</w:t>
            </w:r>
          </w:p>
        </w:tc>
      </w:tr>
      <w:tr w:rsidR="00B77BA4" w:rsidRPr="00DF6045" w14:paraId="2BFE8722" w14:textId="77777777" w:rsidTr="00593BCD">
        <w:trPr>
          <w:trHeight w:val="22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D993AC" w14:textId="77777777" w:rsidR="00B77BA4" w:rsidRPr="00DF6045" w:rsidRDefault="00B77BA4" w:rsidP="00EB6ECA">
            <w:pPr>
              <w:pStyle w:val="Sansinterligne"/>
              <w:jc w:val="both"/>
            </w:pPr>
            <w:r w:rsidRPr="00DF6045">
              <w:t>Enseignement moral et civique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30A40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ACE7C8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44B5C9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t>2</w:t>
            </w:r>
          </w:p>
        </w:tc>
      </w:tr>
      <w:tr w:rsidR="00B77BA4" w:rsidRPr="00DF6045" w14:paraId="61C4A62A" w14:textId="77777777" w:rsidTr="00593BCD">
        <w:trPr>
          <w:trHeight w:val="22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92F625" w14:textId="77777777" w:rsidR="00B77BA4" w:rsidRPr="00593BCD" w:rsidRDefault="00593BCD" w:rsidP="00593BCD">
            <w:pPr>
              <w:pStyle w:val="Sansinterligne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F9DEA1" w14:textId="77777777" w:rsidR="00B77BA4" w:rsidRPr="00593BCD" w:rsidRDefault="00593BCD" w:rsidP="00EB6ECA">
            <w:pPr>
              <w:pStyle w:val="Sansinterligne"/>
              <w:jc w:val="center"/>
              <w:rPr>
                <w:b/>
              </w:rPr>
            </w:pPr>
            <w:r w:rsidRPr="00593BCD">
              <w:rPr>
                <w:b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DEA39F" w14:textId="77777777" w:rsidR="00B77BA4" w:rsidRPr="00593BCD" w:rsidRDefault="00593BCD" w:rsidP="00EB6ECA">
            <w:pPr>
              <w:pStyle w:val="Sansinterligne"/>
              <w:jc w:val="center"/>
              <w:rPr>
                <w:b/>
              </w:rPr>
            </w:pPr>
            <w:r w:rsidRPr="00593BCD">
              <w:rPr>
                <w:b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38027F" w14:textId="77777777" w:rsidR="00B77BA4" w:rsidRPr="00DF6045" w:rsidRDefault="00B77BA4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40</w:t>
            </w:r>
          </w:p>
        </w:tc>
      </w:tr>
    </w:tbl>
    <w:p w14:paraId="502785E7" w14:textId="77777777" w:rsidR="00EC6519" w:rsidRDefault="00EC6519" w:rsidP="00EC6519">
      <w:pPr>
        <w:pStyle w:val="Sansinterligne"/>
        <w:jc w:val="both"/>
      </w:pPr>
    </w:p>
    <w:tbl>
      <w:tblPr>
        <w:tblW w:w="10223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77"/>
        <w:gridCol w:w="1157"/>
        <w:gridCol w:w="1158"/>
        <w:gridCol w:w="1158"/>
        <w:gridCol w:w="1157"/>
        <w:gridCol w:w="1158"/>
        <w:gridCol w:w="1158"/>
      </w:tblGrid>
      <w:tr w:rsidR="00EC6519" w:rsidRPr="00926889" w14:paraId="728CBC32" w14:textId="77777777" w:rsidTr="000641C4">
        <w:trPr>
          <w:trHeight w:val="150"/>
          <w:jc w:val="center"/>
        </w:trPr>
        <w:tc>
          <w:tcPr>
            <w:tcW w:w="10223" w:type="dxa"/>
            <w:gridSpan w:val="7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48D74C" w14:textId="77777777" w:rsidR="00831F28" w:rsidRPr="00831F28" w:rsidRDefault="005A012A" w:rsidP="00831F28">
            <w:pPr>
              <w:pStyle w:val="Sansinterligne"/>
              <w:numPr>
                <w:ilvl w:val="0"/>
                <w:numId w:val="5"/>
              </w:numPr>
              <w:jc w:val="both"/>
            </w:pPr>
            <w:r>
              <w:rPr>
                <w:b/>
                <w:bCs/>
              </w:rPr>
              <w:t>Mathématiques spécifiques</w:t>
            </w:r>
            <w:r w:rsidR="00831F28">
              <w:rPr>
                <w:b/>
                <w:bCs/>
              </w:rPr>
              <w:t xml:space="preserve"> en Première</w:t>
            </w:r>
          </w:p>
          <w:p w14:paraId="6078330F" w14:textId="77777777" w:rsidR="00831F28" w:rsidRDefault="003B2A66" w:rsidP="00831F28">
            <w:pPr>
              <w:pStyle w:val="Sansinterligne"/>
              <w:jc w:val="both"/>
            </w:pPr>
            <w:r>
              <w:t xml:space="preserve">A compter de la rentrée 2023, </w:t>
            </w:r>
            <w:r w:rsidR="00831F28">
              <w:t>les élèves de première générale n'ayant pas choisi l'enseignement de spécialité mathématiques bénéficie</w:t>
            </w:r>
            <w:r>
              <w:t>nt</w:t>
            </w:r>
            <w:r w:rsidR="00831F28">
              <w:t xml:space="preserve"> d'un enseignement </w:t>
            </w:r>
            <w:r>
              <w:t>d</w:t>
            </w:r>
            <w:r w:rsidR="00831F28">
              <w:t xml:space="preserve">e mathématiques </w:t>
            </w:r>
            <w:r>
              <w:t xml:space="preserve">spécifiques </w:t>
            </w:r>
            <w:r w:rsidR="00831F28">
              <w:t>à raison d'1h30 hebdomadaire en complément de la grille horaire de l'enseignement scientifique. Ces élèves font valoir pour le baccalauréat une note chiffrée annuelle composée, à hauteur de 40 %, des notes qu'ils ont obtenues pendant l'année de première en enseignement spécifique de mathématiques et, à hauteur de 60 %, des notes qu'ils ont obtenues pendant l'année de première dans les autres parties de l'enseignement scientifique. Cette note chiffrée annuelle de première est affectée du coefficient 3 prévu par les textes pour l'enseignement scientifique. Une mention du suivi de l'enseignement de mathématique</w:t>
            </w:r>
            <w:r w:rsidR="007E2CDC">
              <w:t>s</w:t>
            </w:r>
            <w:r>
              <w:t xml:space="preserve"> spécifiques</w:t>
            </w:r>
            <w:r w:rsidR="00831F28">
              <w:t xml:space="preserve"> en complément de l'enseignement scientifique est explicitée dans le livret scolaire du lycée pour ces candidats.</w:t>
            </w:r>
          </w:p>
          <w:p w14:paraId="7E4BA5FB" w14:textId="77777777" w:rsidR="00831F28" w:rsidRDefault="003B2A66" w:rsidP="00831F28">
            <w:pPr>
              <w:pStyle w:val="Sansinterligne"/>
            </w:pPr>
            <w:r>
              <w:t>Les mêmes modalités d’évaluation s’appliquent aux élèves ayant suivi cet enseignement en 2022-2023, qui était alors facultatif.</w:t>
            </w:r>
          </w:p>
          <w:p w14:paraId="372B7EBA" w14:textId="77777777" w:rsidR="00831F28" w:rsidRPr="00831F28" w:rsidRDefault="00831F28" w:rsidP="00831F28">
            <w:pPr>
              <w:pStyle w:val="Sansinterligne"/>
            </w:pPr>
          </w:p>
          <w:p w14:paraId="1AA978D1" w14:textId="77777777" w:rsidR="00EC6519" w:rsidRPr="00926889" w:rsidRDefault="005E6243" w:rsidP="00B77BA4">
            <w:pPr>
              <w:pStyle w:val="Sansinterligne"/>
              <w:numPr>
                <w:ilvl w:val="0"/>
                <w:numId w:val="5"/>
              </w:numPr>
            </w:pPr>
            <w:r>
              <w:rPr>
                <w:b/>
                <w:bCs/>
              </w:rPr>
              <w:t>Autres e</w:t>
            </w:r>
            <w:r w:rsidR="00EC6519" w:rsidRPr="00926889">
              <w:rPr>
                <w:b/>
                <w:bCs/>
              </w:rPr>
              <w:t xml:space="preserve">nseignements </w:t>
            </w:r>
            <w:r w:rsidR="00B77BA4">
              <w:rPr>
                <w:b/>
                <w:bCs/>
              </w:rPr>
              <w:t>facultatifs</w:t>
            </w:r>
          </w:p>
        </w:tc>
      </w:tr>
      <w:tr w:rsidR="000641C4" w:rsidRPr="00926889" w14:paraId="53556F56" w14:textId="77777777" w:rsidTr="005B5094">
        <w:trPr>
          <w:trHeight w:val="227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1CB4F0" w14:textId="77777777" w:rsidR="000641C4" w:rsidRPr="00926889" w:rsidRDefault="000641C4" w:rsidP="00EB6ECA">
            <w:pPr>
              <w:pStyle w:val="Sansinterligne"/>
              <w:jc w:val="both"/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562EE3" w14:textId="77777777" w:rsidR="000641C4" w:rsidRPr="00926889" w:rsidRDefault="000641C4" w:rsidP="00EB6ECA">
            <w:pPr>
              <w:pStyle w:val="Sansinterligne"/>
              <w:jc w:val="center"/>
            </w:pPr>
            <w:r w:rsidRPr="00926889">
              <w:t>Voie générale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5169D2" w14:textId="77777777" w:rsidR="000641C4" w:rsidRPr="00926889" w:rsidRDefault="000641C4" w:rsidP="00EB6ECA">
            <w:pPr>
              <w:pStyle w:val="Sansinterligne"/>
              <w:jc w:val="center"/>
            </w:pPr>
            <w:r w:rsidRPr="00926889">
              <w:t>Voie technologique</w:t>
            </w:r>
          </w:p>
        </w:tc>
      </w:tr>
      <w:tr w:rsidR="000641C4" w:rsidRPr="00926889" w14:paraId="770A2D33" w14:textId="77777777" w:rsidTr="005B5094">
        <w:trPr>
          <w:trHeight w:val="227"/>
          <w:jc w:val="center"/>
        </w:trPr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9D0C1D" w14:textId="77777777" w:rsidR="000641C4" w:rsidRPr="00926889" w:rsidRDefault="000641C4" w:rsidP="00EB6ECA">
            <w:pPr>
              <w:pStyle w:val="Sansinterligne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E66E28" w14:textId="77777777" w:rsidR="000641C4" w:rsidRPr="00926889" w:rsidRDefault="000641C4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Première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1CC229" w14:textId="77777777" w:rsidR="000641C4" w:rsidRPr="00926889" w:rsidRDefault="000641C4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Terminale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515943" w14:textId="77777777" w:rsidR="000641C4" w:rsidRPr="00926889" w:rsidRDefault="000641C4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Total cycle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DA4C49" w14:textId="77777777" w:rsidR="000641C4" w:rsidRPr="00926889" w:rsidRDefault="000641C4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Première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AD6A67" w14:textId="77777777" w:rsidR="000641C4" w:rsidRPr="00926889" w:rsidRDefault="000641C4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Terminale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D7E21C" w14:textId="77777777" w:rsidR="000641C4" w:rsidRPr="00926889" w:rsidRDefault="000641C4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Total cycle</w:t>
            </w:r>
          </w:p>
        </w:tc>
      </w:tr>
      <w:tr w:rsidR="00EC6519" w:rsidRPr="00926889" w14:paraId="5884CDFB" w14:textId="77777777" w:rsidTr="000641C4">
        <w:trPr>
          <w:trHeight w:val="227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75066C" w14:textId="2B599127" w:rsidR="00EC6519" w:rsidRPr="00926889" w:rsidRDefault="00EC6519" w:rsidP="00EB6ECA">
            <w:pPr>
              <w:pStyle w:val="Sansinterligne"/>
              <w:jc w:val="both"/>
            </w:pPr>
            <w:r w:rsidRPr="00926889">
              <w:t>Option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8431AF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72AEE3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AC09AA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FB985F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1157A5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5C1455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4</w:t>
            </w:r>
          </w:p>
        </w:tc>
      </w:tr>
      <w:tr w:rsidR="00EC6519" w:rsidRPr="00926889" w14:paraId="257212CA" w14:textId="77777777" w:rsidTr="000641C4">
        <w:trPr>
          <w:trHeight w:val="227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681B48" w14:textId="77777777" w:rsidR="008D73B3" w:rsidRDefault="00EC6519" w:rsidP="00EB6ECA">
            <w:pPr>
              <w:pStyle w:val="Sansinterligne"/>
              <w:jc w:val="both"/>
            </w:pPr>
            <w:r w:rsidRPr="00926889">
              <w:t>Option 2</w:t>
            </w:r>
          </w:p>
          <w:p w14:paraId="79DEEC7F" w14:textId="1DF74D95" w:rsidR="00EC6519" w:rsidRPr="00926889" w:rsidRDefault="008D73B3" w:rsidP="00EB6ECA">
            <w:pPr>
              <w:pStyle w:val="Sansinterligne"/>
              <w:jc w:val="both"/>
            </w:pPr>
            <w:r>
              <w:t>(</w:t>
            </w:r>
            <w:proofErr w:type="gramStart"/>
            <w:r>
              <w:t>suivi</w:t>
            </w:r>
            <w:bookmarkStart w:id="0" w:name="_GoBack"/>
            <w:bookmarkEnd w:id="0"/>
            <w:r>
              <w:t>e</w:t>
            </w:r>
            <w:proofErr w:type="gramEnd"/>
            <w:r>
              <w:t xml:space="preserve"> en Terminale uniquement)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23CDED" w14:textId="77777777" w:rsidR="00EC6519" w:rsidRPr="00926889" w:rsidRDefault="00EC6519" w:rsidP="00EB6ECA">
            <w:pPr>
              <w:pStyle w:val="Sansinterligne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9FFECD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EC222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6A6D04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E5040D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D93925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4</w:t>
            </w:r>
          </w:p>
        </w:tc>
      </w:tr>
      <w:tr w:rsidR="00EC6519" w:rsidRPr="00926889" w14:paraId="1B049834" w14:textId="77777777" w:rsidTr="000641C4">
        <w:trPr>
          <w:trHeight w:val="227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479AC3" w14:textId="77777777" w:rsidR="00EC6519" w:rsidRPr="00926889" w:rsidRDefault="00EC6519" w:rsidP="00EB6ECA">
            <w:pPr>
              <w:pStyle w:val="Sansinterligne"/>
              <w:jc w:val="both"/>
            </w:pPr>
            <w:r w:rsidRPr="00926889">
              <w:t>LCA Latin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08FA56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78AABA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3A9A95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490718" w14:textId="77777777" w:rsidR="00EC6519" w:rsidRPr="00926889" w:rsidRDefault="00EC6519" w:rsidP="00EB6ECA">
            <w:pPr>
              <w:pStyle w:val="Sansinterligne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A1E9B3" w14:textId="77777777" w:rsidR="00EC6519" w:rsidRPr="00926889" w:rsidRDefault="00EC6519" w:rsidP="00EB6ECA">
            <w:pPr>
              <w:pStyle w:val="Sansinterligne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8F6AE4" w14:textId="77777777" w:rsidR="00EC6519" w:rsidRPr="00926889" w:rsidRDefault="00EC6519" w:rsidP="00EB6ECA">
            <w:pPr>
              <w:pStyle w:val="Sansinterligne"/>
              <w:jc w:val="center"/>
            </w:pPr>
          </w:p>
        </w:tc>
      </w:tr>
      <w:tr w:rsidR="00EC6519" w:rsidRPr="00926889" w14:paraId="08155A17" w14:textId="77777777" w:rsidTr="000641C4">
        <w:trPr>
          <w:trHeight w:val="227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4FC189" w14:textId="77777777" w:rsidR="00EC6519" w:rsidRPr="00926889" w:rsidRDefault="00593BCD" w:rsidP="00EB6ECA">
            <w:pPr>
              <w:pStyle w:val="Sansinterligne"/>
              <w:jc w:val="both"/>
            </w:pPr>
            <w:r>
              <w:rPr>
                <w:b/>
                <w:bCs/>
              </w:rPr>
              <w:t>Total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C0528E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2BC463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19E9A6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256909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3B4F0B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542B7F" w14:textId="77777777" w:rsidR="00EC6519" w:rsidRPr="00926889" w:rsidRDefault="00EC6519" w:rsidP="00EB6ECA">
            <w:pPr>
              <w:pStyle w:val="Sansinterligne"/>
              <w:jc w:val="center"/>
            </w:pPr>
            <w:r w:rsidRPr="00926889">
              <w:rPr>
                <w:b/>
                <w:bCs/>
              </w:rPr>
              <w:t>8</w:t>
            </w:r>
          </w:p>
        </w:tc>
      </w:tr>
    </w:tbl>
    <w:p w14:paraId="362DEB9D" w14:textId="77777777" w:rsidR="00593BCD" w:rsidRDefault="00593BCD" w:rsidP="0088747C">
      <w:pPr>
        <w:pStyle w:val="Sansinterligne"/>
        <w:jc w:val="both"/>
      </w:pPr>
    </w:p>
    <w:p w14:paraId="1AB4B5E9" w14:textId="77777777" w:rsidR="000429F4" w:rsidRPr="0088747C" w:rsidRDefault="000429F4" w:rsidP="0088747C">
      <w:pPr>
        <w:pStyle w:val="Sansinterligne"/>
        <w:jc w:val="both"/>
      </w:pPr>
    </w:p>
    <w:p w14:paraId="21B37740" w14:textId="77777777" w:rsidR="00A02707" w:rsidRPr="004C5B00" w:rsidRDefault="004C5B00" w:rsidP="004C5B00">
      <w:pPr>
        <w:pStyle w:val="Sansinterligne"/>
        <w:numPr>
          <w:ilvl w:val="0"/>
          <w:numId w:val="5"/>
        </w:numPr>
        <w:jc w:val="both"/>
      </w:pPr>
      <w:r>
        <w:rPr>
          <w:b/>
          <w:bCs/>
        </w:rPr>
        <w:t>Section européenne</w:t>
      </w:r>
    </w:p>
    <w:p w14:paraId="7CF2904A" w14:textId="77777777" w:rsidR="005E6243" w:rsidRDefault="005E6243" w:rsidP="005E6243">
      <w:pPr>
        <w:pStyle w:val="Sansinterligne"/>
        <w:jc w:val="both"/>
      </w:pPr>
      <w:r>
        <w:t>Pour obtenir l'indication section européenne sur le diplôme de baccalauréat, le candidat, scolarisé dans une section européenne, doit satisfaire aux conditions suivantes :</w:t>
      </w:r>
    </w:p>
    <w:p w14:paraId="00965003" w14:textId="77777777" w:rsidR="005E6243" w:rsidRDefault="005E6243" w:rsidP="005E6243">
      <w:pPr>
        <w:pStyle w:val="Sansinterligne"/>
        <w:ind w:firstLine="708"/>
        <w:jc w:val="both"/>
      </w:pPr>
      <w:r>
        <w:t>- se prévaloir d'une moyenne sur le cycle terminal (moyenne des moyennes annuelles de première et de terminale) égale ou supérieure à 12 sur 20 en langue vivante A ou B (langue de la section) ;</w:t>
      </w:r>
    </w:p>
    <w:p w14:paraId="21883093" w14:textId="77777777" w:rsidR="005E6243" w:rsidRDefault="005E6243" w:rsidP="005E295D">
      <w:pPr>
        <w:pStyle w:val="Sansinterligne"/>
        <w:ind w:firstLine="708"/>
        <w:jc w:val="both"/>
      </w:pPr>
      <w:r>
        <w:t>- avoir obtenu une note égale ou supérieure à 10 sur 20 à une évaluation spécifique de contrôle continu visant à apprécier le niveau de maîtrise de la langue, acquis au cours de la scolarité en section européenne.</w:t>
      </w:r>
    </w:p>
    <w:p w14:paraId="00BC34B3" w14:textId="77777777" w:rsidR="005E295D" w:rsidRDefault="005E295D" w:rsidP="005E295D">
      <w:pPr>
        <w:pStyle w:val="Sansinterligne"/>
        <w:ind w:firstLine="708"/>
        <w:jc w:val="both"/>
      </w:pPr>
    </w:p>
    <w:p w14:paraId="4F3E65F8" w14:textId="77777777" w:rsidR="005E6243" w:rsidRDefault="005E6243" w:rsidP="005E6243">
      <w:pPr>
        <w:pStyle w:val="Sansinterligne"/>
        <w:jc w:val="both"/>
      </w:pPr>
      <w:r>
        <w:t>L'évaluation spécifique de contrôle continu comprend :</w:t>
      </w:r>
    </w:p>
    <w:p w14:paraId="27DAC05D" w14:textId="77777777" w:rsidR="005E6243" w:rsidRDefault="005E6243" w:rsidP="005E6243">
      <w:pPr>
        <w:pStyle w:val="Sansinterligne"/>
        <w:ind w:firstLine="708"/>
        <w:jc w:val="both"/>
      </w:pPr>
      <w:r>
        <w:t>- le résultat d'une interrogation orale en langue, qui a lieu à la fin du cycle terminal, comptant pour 80 % ;</w:t>
      </w:r>
    </w:p>
    <w:p w14:paraId="0E126E47" w14:textId="77777777" w:rsidR="005E6243" w:rsidRDefault="005E6243" w:rsidP="005E6243">
      <w:pPr>
        <w:pStyle w:val="Sansinterligne"/>
        <w:ind w:firstLine="708"/>
        <w:jc w:val="both"/>
      </w:pPr>
      <w:r>
        <w:t>- la note sanctionnant la scolarité de l'élève dans sa section au cours de la classe de Terminale, qui compte pour 20 %. Elle est conjointement attribuée par le professeur de langue et le professeur de la discipline non linguistique (DNL) ayant fait l'objet d'un enseignement dans la langue de la section.</w:t>
      </w:r>
    </w:p>
    <w:p w14:paraId="741D5FFF" w14:textId="77777777" w:rsidR="005E6243" w:rsidRDefault="005E6243" w:rsidP="005E6243">
      <w:pPr>
        <w:pStyle w:val="Sansinterligne"/>
        <w:jc w:val="both"/>
      </w:pPr>
    </w:p>
    <w:p w14:paraId="25F8C169" w14:textId="3C1D0D92" w:rsidR="00BE61FC" w:rsidRDefault="005E6243" w:rsidP="005E6243">
      <w:pPr>
        <w:pStyle w:val="Sansinterligne"/>
        <w:jc w:val="both"/>
      </w:pPr>
      <w:r>
        <w:t xml:space="preserve">La note globale attribuée à l'évaluation spécifique de contrôle continu pour l'obtention de l'indication </w:t>
      </w:r>
      <w:r w:rsidR="005E295D">
        <w:t>section européenne</w:t>
      </w:r>
      <w:r>
        <w:t xml:space="preserve"> est prise en compte dans l</w:t>
      </w:r>
      <w:r w:rsidR="005E295D">
        <w:t>a</w:t>
      </w:r>
      <w:r>
        <w:t xml:space="preserve"> moyenne</w:t>
      </w:r>
      <w:r w:rsidR="005E295D">
        <w:t xml:space="preserve"> du </w:t>
      </w:r>
      <w:r w:rsidR="00EA79FD">
        <w:t>troisième</w:t>
      </w:r>
      <w:r w:rsidR="005E295D">
        <w:t xml:space="preserve"> </w:t>
      </w:r>
      <w:r w:rsidR="00EA79FD">
        <w:t>trimestre</w:t>
      </w:r>
      <w:r w:rsidR="005E295D">
        <w:t xml:space="preserve"> de Terminale</w:t>
      </w:r>
      <w:r>
        <w:t xml:space="preserve"> de </w:t>
      </w:r>
      <w:r w:rsidR="005E295D">
        <w:t xml:space="preserve">la </w:t>
      </w:r>
      <w:r>
        <w:t>langue vivante A ou B</w:t>
      </w:r>
      <w:r w:rsidR="005E295D">
        <w:t xml:space="preserve"> (langue de la section) à hauteur de </w:t>
      </w:r>
      <w:r w:rsidR="00EA79FD">
        <w:t>5</w:t>
      </w:r>
      <w:r w:rsidR="005E295D">
        <w:t>0%.</w:t>
      </w:r>
    </w:p>
    <w:p w14:paraId="419E730E" w14:textId="77777777" w:rsidR="00FB2F92" w:rsidRDefault="00FB2F92" w:rsidP="005E6243">
      <w:pPr>
        <w:pStyle w:val="Sansinterligne"/>
        <w:jc w:val="both"/>
      </w:pPr>
    </w:p>
    <w:p w14:paraId="532091B7" w14:textId="76B0B1D4" w:rsidR="005E6243" w:rsidRDefault="00FB2F92" w:rsidP="00FB2F92">
      <w:pPr>
        <w:pStyle w:val="Sansinterligne"/>
        <w:tabs>
          <w:tab w:val="left" w:pos="1487"/>
        </w:tabs>
        <w:jc w:val="both"/>
      </w:pPr>
      <w:r>
        <w:lastRenderedPageBreak/>
        <w:tab/>
      </w:r>
    </w:p>
    <w:p w14:paraId="2382F8A4" w14:textId="77777777" w:rsidR="00A17C36" w:rsidRPr="00A17C36" w:rsidRDefault="00A17C36" w:rsidP="00A17C36">
      <w:pPr>
        <w:pStyle w:val="Sansinterligne"/>
        <w:numPr>
          <w:ilvl w:val="1"/>
          <w:numId w:val="3"/>
        </w:numPr>
        <w:spacing w:after="120"/>
        <w:jc w:val="both"/>
        <w:rPr>
          <w:b/>
        </w:rPr>
      </w:pPr>
      <w:r w:rsidRPr="00A17C36">
        <w:rPr>
          <w:b/>
        </w:rPr>
        <w:t>Epreuves terminales</w:t>
      </w:r>
    </w:p>
    <w:p w14:paraId="72897947" w14:textId="77777777" w:rsidR="00EC6519" w:rsidRPr="00D95E57" w:rsidRDefault="00EC6519" w:rsidP="00A17C36">
      <w:pPr>
        <w:pStyle w:val="Sansinterligne"/>
        <w:jc w:val="both"/>
      </w:pPr>
      <w:r w:rsidRPr="00DF6045">
        <w:t xml:space="preserve">Les </w:t>
      </w:r>
      <w:r w:rsidRPr="00D95E57">
        <w:t xml:space="preserve">épreuves terminales, qui correspondent à 60 coefficients, évaluent le français, la philosophie, les deux spécialités conservées en </w:t>
      </w:r>
      <w:r w:rsidR="000641C4">
        <w:t>T</w:t>
      </w:r>
      <w:r w:rsidRPr="00D95E57">
        <w:t xml:space="preserve">erminale et le </w:t>
      </w:r>
      <w:r w:rsidR="00E40411" w:rsidRPr="00D95E57">
        <w:t>G</w:t>
      </w:r>
      <w:r w:rsidRPr="00D95E57">
        <w:t>rand oral.</w:t>
      </w:r>
      <w:r w:rsidR="00B45F62" w:rsidRPr="00D95E57">
        <w:t xml:space="preserve"> Il est à noter que les moyennes semestrielles</w:t>
      </w:r>
      <w:r w:rsidR="00732891">
        <w:t>/trimestrielles</w:t>
      </w:r>
      <w:r w:rsidR="00B45F62" w:rsidRPr="00D95E57">
        <w:t xml:space="preserve"> de ces disciplines ne sont pas prises en compte dans le cadre du contrôle continu.</w:t>
      </w:r>
    </w:p>
    <w:p w14:paraId="1EFE807F" w14:textId="77777777" w:rsidR="00EC6519" w:rsidRPr="00DF6045" w:rsidRDefault="00EC6519" w:rsidP="00002DF9">
      <w:pPr>
        <w:pStyle w:val="Sansinterligne"/>
        <w:jc w:val="right"/>
      </w:pPr>
    </w:p>
    <w:tbl>
      <w:tblPr>
        <w:tblW w:w="1008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8"/>
        <w:gridCol w:w="1045"/>
        <w:gridCol w:w="1046"/>
        <w:gridCol w:w="1045"/>
        <w:gridCol w:w="1046"/>
        <w:gridCol w:w="1045"/>
        <w:gridCol w:w="1046"/>
      </w:tblGrid>
      <w:tr w:rsidR="00EC6519" w:rsidRPr="00DF6045" w14:paraId="6DAAB638" w14:textId="77777777" w:rsidTr="00EC6519">
        <w:trPr>
          <w:trHeight w:val="227"/>
          <w:jc w:val="center"/>
        </w:trPr>
        <w:tc>
          <w:tcPr>
            <w:tcW w:w="3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944A9A" w14:textId="77777777" w:rsidR="00EC6519" w:rsidRPr="00DF6045" w:rsidRDefault="00EC6519" w:rsidP="00EB6ECA">
            <w:pPr>
              <w:pStyle w:val="Sansinterligne"/>
              <w:jc w:val="both"/>
            </w:pPr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FEADD7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Voie générale</w:t>
            </w:r>
          </w:p>
        </w:tc>
        <w:tc>
          <w:tcPr>
            <w:tcW w:w="3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5FFE47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Voie technologique</w:t>
            </w:r>
          </w:p>
        </w:tc>
      </w:tr>
      <w:tr w:rsidR="00EC6519" w:rsidRPr="00DF6045" w14:paraId="123EDFDB" w14:textId="77777777" w:rsidTr="00EC6519">
        <w:trPr>
          <w:trHeight w:val="227"/>
          <w:jc w:val="center"/>
        </w:trPr>
        <w:tc>
          <w:tcPr>
            <w:tcW w:w="3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1D66AC" w14:textId="77777777" w:rsidR="00EC6519" w:rsidRPr="00DF6045" w:rsidRDefault="00EC6519" w:rsidP="00EB6ECA">
            <w:pPr>
              <w:pStyle w:val="Sansinterligne"/>
              <w:jc w:val="both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F8B6B8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Première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866956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Terminale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8406CC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Total cycle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59201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Première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BF1EA8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Terminale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07FB43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Total cycle</w:t>
            </w:r>
          </w:p>
        </w:tc>
      </w:tr>
      <w:tr w:rsidR="00EC6519" w:rsidRPr="00DF6045" w14:paraId="1A962ABC" w14:textId="77777777" w:rsidTr="00EC6519">
        <w:trPr>
          <w:trHeight w:val="227"/>
          <w:jc w:val="center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1E95F9" w14:textId="77777777" w:rsidR="00EC6519" w:rsidRPr="00DF6045" w:rsidRDefault="00EC6519" w:rsidP="00EB6ECA">
            <w:pPr>
              <w:pStyle w:val="Sansinterligne"/>
              <w:jc w:val="both"/>
            </w:pPr>
            <w:r w:rsidRPr="00DF6045">
              <w:t>Français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6C3AE3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10</w:t>
            </w:r>
            <w:r w:rsidR="00DD7001">
              <w:t>*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1BF09B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EA317D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7977AF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F11E02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191DB9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10</w:t>
            </w:r>
          </w:p>
        </w:tc>
      </w:tr>
      <w:tr w:rsidR="00EC6519" w:rsidRPr="00DF6045" w14:paraId="62BE8F28" w14:textId="77777777" w:rsidTr="00EC6519">
        <w:trPr>
          <w:trHeight w:val="227"/>
          <w:jc w:val="center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F230C3" w14:textId="77777777" w:rsidR="00EC6519" w:rsidRPr="00DF6045" w:rsidRDefault="00EC6519" w:rsidP="00EB6ECA">
            <w:pPr>
              <w:pStyle w:val="Sansinterligne"/>
              <w:jc w:val="both"/>
            </w:pPr>
            <w:r w:rsidRPr="00DF6045">
              <w:t>Philosophie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4560BD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9CF978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1B3D04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8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00CD25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AE6AC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003358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4</w:t>
            </w:r>
          </w:p>
        </w:tc>
      </w:tr>
      <w:tr w:rsidR="00EC6519" w:rsidRPr="00DF6045" w14:paraId="265A0F43" w14:textId="77777777" w:rsidTr="00EC6519">
        <w:trPr>
          <w:trHeight w:val="227"/>
          <w:jc w:val="center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86E9B7" w14:textId="77777777" w:rsidR="00EC6519" w:rsidRPr="00DF6045" w:rsidRDefault="00EC6519" w:rsidP="00EB6ECA">
            <w:pPr>
              <w:pStyle w:val="Sansinterligne"/>
              <w:jc w:val="both"/>
            </w:pPr>
            <w:r w:rsidRPr="00DF6045">
              <w:t>Enseignement de spécialité 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C0F8CF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5E32E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B94E94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16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848C5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DCB8EF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16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F7CF8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16</w:t>
            </w:r>
          </w:p>
        </w:tc>
      </w:tr>
      <w:tr w:rsidR="00EC6519" w:rsidRPr="00DF6045" w14:paraId="29F35DA1" w14:textId="77777777" w:rsidTr="00EC6519">
        <w:trPr>
          <w:trHeight w:val="227"/>
          <w:jc w:val="center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0836A8" w14:textId="77777777" w:rsidR="00EC6519" w:rsidRPr="00DF6045" w:rsidRDefault="00EC6519" w:rsidP="00EB6ECA">
            <w:pPr>
              <w:pStyle w:val="Sansinterligne"/>
              <w:jc w:val="both"/>
            </w:pPr>
            <w:r w:rsidRPr="00DF6045">
              <w:t>Enseignement de spécialité 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25C983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B07172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FCE77F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16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49DF1B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010531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16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3128B4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16</w:t>
            </w:r>
          </w:p>
        </w:tc>
      </w:tr>
      <w:tr w:rsidR="00EC6519" w:rsidRPr="00DF6045" w14:paraId="5C37C056" w14:textId="77777777" w:rsidTr="00EC6519">
        <w:trPr>
          <w:trHeight w:val="227"/>
          <w:jc w:val="center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5BB3F7" w14:textId="77777777" w:rsidR="00EC6519" w:rsidRPr="00DF6045" w:rsidRDefault="00EC6519" w:rsidP="00EB6ECA">
            <w:pPr>
              <w:pStyle w:val="Sansinterligne"/>
              <w:jc w:val="both"/>
            </w:pPr>
            <w:r w:rsidRPr="00DF6045">
              <w:t>Grand oral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3F9B2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5F2251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B4529F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D26564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88A00B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14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70A35B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t>14</w:t>
            </w:r>
          </w:p>
        </w:tc>
      </w:tr>
      <w:tr w:rsidR="00EC6519" w:rsidRPr="00DF6045" w14:paraId="1E0FFAAA" w14:textId="77777777" w:rsidTr="00EC6519">
        <w:trPr>
          <w:trHeight w:val="227"/>
          <w:jc w:val="center"/>
        </w:trPr>
        <w:tc>
          <w:tcPr>
            <w:tcW w:w="380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DA7AC2" w14:textId="77777777" w:rsidR="00EC6519" w:rsidRPr="00DF6045" w:rsidRDefault="00EC6519" w:rsidP="00EB6ECA">
            <w:pPr>
              <w:pStyle w:val="Sansinterligne"/>
              <w:jc w:val="both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A44450" w14:textId="77777777" w:rsidR="00EC6519" w:rsidRPr="00DF6045" w:rsidRDefault="00EC6519" w:rsidP="00EB6ECA">
            <w:pPr>
              <w:pStyle w:val="Sansinterligne"/>
              <w:jc w:val="both"/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DD70C0" w14:textId="77777777" w:rsidR="00EC6519" w:rsidRPr="00DF6045" w:rsidRDefault="00EC6519" w:rsidP="00EB6ECA">
            <w:pPr>
              <w:pStyle w:val="Sansinterligne"/>
              <w:jc w:val="both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B5EBA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60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ADCB67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611358" w14:textId="77777777" w:rsidR="00EC6519" w:rsidRPr="00DF6045" w:rsidRDefault="00EC6519" w:rsidP="00EB6ECA">
            <w:pPr>
              <w:pStyle w:val="Sansinterligne"/>
              <w:jc w:val="center"/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300A83" w14:textId="77777777" w:rsidR="00EC6519" w:rsidRPr="00DF6045" w:rsidRDefault="00EC6519" w:rsidP="00EB6ECA">
            <w:pPr>
              <w:pStyle w:val="Sansinterligne"/>
              <w:jc w:val="center"/>
            </w:pPr>
            <w:r w:rsidRPr="00DF6045">
              <w:rPr>
                <w:b/>
                <w:bCs/>
              </w:rPr>
              <w:t>60</w:t>
            </w:r>
          </w:p>
        </w:tc>
      </w:tr>
    </w:tbl>
    <w:p w14:paraId="661012A3" w14:textId="77777777" w:rsidR="00DD7001" w:rsidRDefault="00DD7001" w:rsidP="007C0F61">
      <w:pPr>
        <w:pStyle w:val="Sansinterligne"/>
        <w:jc w:val="both"/>
      </w:pPr>
      <w:r>
        <w:t>*5 coefficients pour l’épreuve écrite et 5 coefficients pour l’épreuve orale</w:t>
      </w:r>
    </w:p>
    <w:p w14:paraId="11A7F0FA" w14:textId="77777777" w:rsidR="000429F4" w:rsidRDefault="000429F4" w:rsidP="007C0F61">
      <w:pPr>
        <w:pStyle w:val="Sansinterligne"/>
        <w:jc w:val="both"/>
      </w:pPr>
    </w:p>
    <w:p w14:paraId="72D460AA" w14:textId="77777777" w:rsidR="00B45F62" w:rsidRPr="00615B5E" w:rsidRDefault="00B45F62" w:rsidP="00B45F62">
      <w:pPr>
        <w:pStyle w:val="Sansinterligne"/>
        <w:numPr>
          <w:ilvl w:val="0"/>
          <w:numId w:val="3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Livret scolaire et </w:t>
      </w:r>
      <w:proofErr w:type="spellStart"/>
      <w:r>
        <w:rPr>
          <w:b/>
          <w:bCs/>
          <w:sz w:val="24"/>
        </w:rPr>
        <w:t>Parcoursup</w:t>
      </w:r>
      <w:proofErr w:type="spellEnd"/>
    </w:p>
    <w:p w14:paraId="588D3C4A" w14:textId="77777777" w:rsidR="00B45F62" w:rsidRDefault="00B45F62" w:rsidP="00B45F62">
      <w:pPr>
        <w:pStyle w:val="Sansinterligne"/>
        <w:spacing w:before="120"/>
        <w:jc w:val="both"/>
      </w:pPr>
      <w:r>
        <w:t xml:space="preserve">Le livret scolaire est </w:t>
      </w:r>
      <w:r w:rsidR="0021764F">
        <w:t>le seul document de référence qui fait foi pour le baccalauréat. Les moyennes annuelles obtenues dans toutes les disciplines en Première et Terminale apparaissent sur le livret scolaire.</w:t>
      </w:r>
    </w:p>
    <w:p w14:paraId="3D4EB754" w14:textId="77777777" w:rsidR="0021764F" w:rsidRDefault="0021764F" w:rsidP="00B45F62">
      <w:pPr>
        <w:pStyle w:val="Sansinterligne"/>
        <w:spacing w:before="120"/>
        <w:jc w:val="both"/>
      </w:pPr>
      <w:proofErr w:type="spellStart"/>
      <w:r w:rsidRPr="0021764F">
        <w:t>Parcoursup</w:t>
      </w:r>
      <w:proofErr w:type="spellEnd"/>
      <w:r w:rsidRPr="0021764F">
        <w:t xml:space="preserve"> est la plateforme nationale de préinscription en première année de l’enseignement supérieur en France.</w:t>
      </w:r>
      <w:r>
        <w:t xml:space="preserve"> Les moyennes des deux semest</w:t>
      </w:r>
      <w:r w:rsidR="00735F01">
        <w:t>r</w:t>
      </w:r>
      <w:r>
        <w:t>es de Première et du premier semestre de Terminale y sont renseignées ainsi que les notes obtenues lors des épreuves terminales du baccalauréat de français et d’enseignements de spécialités.</w:t>
      </w:r>
    </w:p>
    <w:p w14:paraId="0FDBE032" w14:textId="77777777" w:rsidR="00B45F62" w:rsidRDefault="0021764F" w:rsidP="008E00F6">
      <w:pPr>
        <w:pStyle w:val="Sansinterligne"/>
        <w:spacing w:before="120"/>
        <w:jc w:val="both"/>
      </w:pPr>
      <w:r>
        <w:t>Des appréciations</w:t>
      </w:r>
      <w:r w:rsidR="00735F01">
        <w:t>,</w:t>
      </w:r>
      <w:r>
        <w:t xml:space="preserve"> rédigées par les professeurs, portant su</w:t>
      </w:r>
      <w:r w:rsidR="00735F01">
        <w:t>r le niveau d’acquisition des compétences</w:t>
      </w:r>
      <w:r>
        <w:t>, l’assiduité,</w:t>
      </w:r>
      <w:r w:rsidR="00735F01">
        <w:t xml:space="preserve"> la capacité de travail, l’autonomie, l’investissement dans la classe et le rayonnement dans l’établissement complètent</w:t>
      </w:r>
      <w:r>
        <w:t xml:space="preserve"> le</w:t>
      </w:r>
      <w:r w:rsidR="00735F01">
        <w:t>s résultats chiffrés.</w:t>
      </w:r>
    </w:p>
    <w:p w14:paraId="01348701" w14:textId="77777777" w:rsidR="00593BCD" w:rsidRPr="00DF6045" w:rsidRDefault="00593BCD" w:rsidP="00082F1A">
      <w:pPr>
        <w:pStyle w:val="Sansinterligne"/>
        <w:jc w:val="both"/>
      </w:pPr>
    </w:p>
    <w:p w14:paraId="572BE49D" w14:textId="77777777" w:rsidR="00EC6519" w:rsidRPr="00615B5E" w:rsidRDefault="00EC6519" w:rsidP="00B45F62">
      <w:pPr>
        <w:pStyle w:val="Sansinterligne"/>
        <w:numPr>
          <w:ilvl w:val="0"/>
          <w:numId w:val="3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Modalités de calcul d’</w:t>
      </w:r>
      <w:r w:rsidRPr="00615B5E">
        <w:rPr>
          <w:b/>
          <w:bCs/>
          <w:sz w:val="24"/>
        </w:rPr>
        <w:t>une moyenne semestrielle</w:t>
      </w:r>
      <w:r w:rsidR="00732891">
        <w:rPr>
          <w:b/>
          <w:bCs/>
          <w:sz w:val="24"/>
        </w:rPr>
        <w:t>/trimestrielle</w:t>
      </w:r>
    </w:p>
    <w:p w14:paraId="49EE3E2B" w14:textId="77777777" w:rsidR="00EC6519" w:rsidRDefault="00EC6519" w:rsidP="00EC6519">
      <w:pPr>
        <w:pStyle w:val="Sansinterligne"/>
        <w:spacing w:before="120"/>
        <w:jc w:val="both"/>
        <w:rPr>
          <w:bCs/>
        </w:rPr>
      </w:pPr>
      <w:r w:rsidRPr="00615B5E">
        <w:rPr>
          <w:bCs/>
        </w:rPr>
        <w:t>Pour</w:t>
      </w:r>
      <w:r>
        <w:rPr>
          <w:bCs/>
        </w:rPr>
        <w:t xml:space="preserve"> être </w:t>
      </w:r>
      <w:r w:rsidR="00755791">
        <w:rPr>
          <w:bCs/>
        </w:rPr>
        <w:t>représentative</w:t>
      </w:r>
      <w:r>
        <w:rPr>
          <w:bCs/>
        </w:rPr>
        <w:t>, une moyenne semestrielle</w:t>
      </w:r>
      <w:r w:rsidR="00732891">
        <w:rPr>
          <w:bCs/>
        </w:rPr>
        <w:t>/trimestrielle</w:t>
      </w:r>
      <w:r>
        <w:rPr>
          <w:bCs/>
        </w:rPr>
        <w:t xml:space="preserve"> </w:t>
      </w:r>
      <w:r w:rsidR="000641C4">
        <w:rPr>
          <w:bCs/>
        </w:rPr>
        <w:t xml:space="preserve">est </w:t>
      </w:r>
      <w:r>
        <w:rPr>
          <w:bCs/>
        </w:rPr>
        <w:t>constituée à partir d’une pluralité de notes.</w:t>
      </w:r>
    </w:p>
    <w:p w14:paraId="53D3C279" w14:textId="77777777" w:rsidR="005A056B" w:rsidRDefault="00EC6519" w:rsidP="00EC6519">
      <w:pPr>
        <w:pStyle w:val="Sansinterligne"/>
        <w:spacing w:before="120"/>
        <w:jc w:val="both"/>
        <w:rPr>
          <w:bCs/>
        </w:rPr>
      </w:pPr>
      <w:r>
        <w:rPr>
          <w:bCs/>
        </w:rPr>
        <w:t>Il s’agit d’un minimum de 5 notes par semestre</w:t>
      </w:r>
      <w:r w:rsidR="00732891">
        <w:rPr>
          <w:bCs/>
        </w:rPr>
        <w:t xml:space="preserve"> et 3 notes par trimestre</w:t>
      </w:r>
      <w:r>
        <w:rPr>
          <w:bCs/>
        </w:rPr>
        <w:t xml:space="preserve">, liées à des évaluations aux formats divers (individuelles ou collectives, écrites ou orales, brèves ou longues, </w:t>
      </w:r>
      <w:r w:rsidR="0007329C">
        <w:rPr>
          <w:bCs/>
        </w:rPr>
        <w:t xml:space="preserve">communes à d’autres classes/groupes ou </w:t>
      </w:r>
      <w:r w:rsidR="009778E4">
        <w:rPr>
          <w:bCs/>
        </w:rPr>
        <w:t>non</w:t>
      </w:r>
      <w:r w:rsidR="0007329C">
        <w:rPr>
          <w:bCs/>
        </w:rPr>
        <w:t xml:space="preserve">, </w:t>
      </w:r>
      <w:r>
        <w:rPr>
          <w:bCs/>
        </w:rPr>
        <w:t xml:space="preserve">en classe ou à la maison, QCM ou questions ouvertes…) et permettant d’évaluer des connaissances et compétences variées (disciplinaires ou </w:t>
      </w:r>
      <w:r w:rsidR="009778E4">
        <w:rPr>
          <w:bCs/>
        </w:rPr>
        <w:t>interdisciplinaires</w:t>
      </w:r>
      <w:r>
        <w:rPr>
          <w:bCs/>
        </w:rPr>
        <w:t>).</w:t>
      </w:r>
    </w:p>
    <w:p w14:paraId="7DD88767" w14:textId="77777777" w:rsidR="0007329C" w:rsidRDefault="0007329C" w:rsidP="00EC6519">
      <w:pPr>
        <w:pStyle w:val="Sansinterligne"/>
        <w:spacing w:before="120"/>
        <w:jc w:val="both"/>
        <w:rPr>
          <w:bCs/>
        </w:rPr>
      </w:pPr>
      <w:r>
        <w:rPr>
          <w:bCs/>
        </w:rPr>
        <w:t xml:space="preserve">Les compétences orales sont évaluées dans toutes les disciplines dès la classe de Seconde afin de préparer progressivement les élèves à l’épreuve du </w:t>
      </w:r>
      <w:r w:rsidR="00E40411">
        <w:rPr>
          <w:bCs/>
        </w:rPr>
        <w:t>G</w:t>
      </w:r>
      <w:r>
        <w:rPr>
          <w:bCs/>
        </w:rPr>
        <w:t>rand oral.</w:t>
      </w:r>
    </w:p>
    <w:p w14:paraId="76CF6663" w14:textId="77777777" w:rsidR="000641C4" w:rsidRDefault="00EC6519" w:rsidP="00EC6519">
      <w:pPr>
        <w:pStyle w:val="Sansinterligne"/>
        <w:spacing w:before="120"/>
        <w:jc w:val="both"/>
        <w:rPr>
          <w:bCs/>
        </w:rPr>
      </w:pPr>
      <w:r>
        <w:rPr>
          <w:bCs/>
        </w:rPr>
        <w:t xml:space="preserve">Dans les disciplines comme l’EPS </w:t>
      </w:r>
      <w:r w:rsidR="009778E4">
        <w:rPr>
          <w:bCs/>
        </w:rPr>
        <w:t>et celles</w:t>
      </w:r>
      <w:r>
        <w:rPr>
          <w:bCs/>
        </w:rPr>
        <w:t xml:space="preserve"> </w:t>
      </w:r>
      <w:r w:rsidR="0007329C">
        <w:rPr>
          <w:bCs/>
        </w:rPr>
        <w:t>dont le</w:t>
      </w:r>
      <w:r>
        <w:rPr>
          <w:bCs/>
        </w:rPr>
        <w:t xml:space="preserve"> volume horaire </w:t>
      </w:r>
      <w:r w:rsidR="009778E4">
        <w:rPr>
          <w:bCs/>
        </w:rPr>
        <w:t xml:space="preserve">est </w:t>
      </w:r>
      <w:r>
        <w:rPr>
          <w:bCs/>
        </w:rPr>
        <w:t xml:space="preserve">inférieur à 2 heures hebdomadaires, la moyenne </w:t>
      </w:r>
      <w:r w:rsidR="000641C4">
        <w:rPr>
          <w:bCs/>
        </w:rPr>
        <w:t>peut</w:t>
      </w:r>
      <w:r>
        <w:rPr>
          <w:bCs/>
        </w:rPr>
        <w:t xml:space="preserve"> être constituée à partir d’un nombre inférieur de notes.</w:t>
      </w:r>
    </w:p>
    <w:p w14:paraId="0D97DA6E" w14:textId="77777777" w:rsidR="00732891" w:rsidRDefault="00732891" w:rsidP="00EC6519">
      <w:pPr>
        <w:pStyle w:val="Sansinterligne"/>
        <w:spacing w:before="120"/>
        <w:jc w:val="both"/>
        <w:rPr>
          <w:bCs/>
        </w:rPr>
      </w:pPr>
      <w:r>
        <w:rPr>
          <w:bCs/>
        </w:rPr>
        <w:t>En Seconde et Première, l</w:t>
      </w:r>
      <w:r w:rsidR="000641C4">
        <w:rPr>
          <w:bCs/>
        </w:rPr>
        <w:t xml:space="preserve">es notes d’Enseignement Morale et Civique (EMC) </w:t>
      </w:r>
      <w:r w:rsidR="0088747C">
        <w:rPr>
          <w:bCs/>
        </w:rPr>
        <w:t xml:space="preserve">obtenues tout au long de l’année sont prises en compte </w:t>
      </w:r>
      <w:r w:rsidR="00593BCD">
        <w:rPr>
          <w:bCs/>
        </w:rPr>
        <w:t xml:space="preserve">uniquement </w:t>
      </w:r>
      <w:r w:rsidR="0088747C">
        <w:rPr>
          <w:bCs/>
        </w:rPr>
        <w:t xml:space="preserve">au second semestre. </w:t>
      </w:r>
      <w:r w:rsidR="00593BCD">
        <w:rPr>
          <w:bCs/>
        </w:rPr>
        <w:t>Ainsi, i</w:t>
      </w:r>
      <w:r w:rsidR="0088747C">
        <w:rPr>
          <w:bCs/>
        </w:rPr>
        <w:t>l n’y a pas de moyenne d’EMC sur le bulletin du premier semestre</w:t>
      </w:r>
      <w:r>
        <w:rPr>
          <w:bCs/>
        </w:rPr>
        <w:t xml:space="preserve"> de Seconde et Première.</w:t>
      </w:r>
      <w:r w:rsidR="0044352B">
        <w:rPr>
          <w:bCs/>
        </w:rPr>
        <w:t xml:space="preserve"> L</w:t>
      </w:r>
      <w:r w:rsidR="0088747C">
        <w:rPr>
          <w:bCs/>
        </w:rPr>
        <w:t xml:space="preserve">a moyenne annuelle est </w:t>
      </w:r>
      <w:r w:rsidR="0044352B">
        <w:rPr>
          <w:bCs/>
        </w:rPr>
        <w:t xml:space="preserve">donc </w:t>
      </w:r>
      <w:r w:rsidR="0088747C">
        <w:rPr>
          <w:bCs/>
        </w:rPr>
        <w:t>celle du second semestre.</w:t>
      </w:r>
      <w:r>
        <w:rPr>
          <w:bCs/>
        </w:rPr>
        <w:t xml:space="preserve"> En Terminale, les bulletins du 1</w:t>
      </w:r>
      <w:r w:rsidRPr="00732891">
        <w:rPr>
          <w:bCs/>
          <w:vertAlign w:val="superscript"/>
        </w:rPr>
        <w:t>er</w:t>
      </w:r>
      <w:r>
        <w:rPr>
          <w:bCs/>
        </w:rPr>
        <w:t xml:space="preserve"> et du 3</w:t>
      </w:r>
      <w:r w:rsidRPr="00732891">
        <w:rPr>
          <w:bCs/>
          <w:vertAlign w:val="superscript"/>
        </w:rPr>
        <w:t>ème</w:t>
      </w:r>
      <w:r>
        <w:rPr>
          <w:bCs/>
        </w:rPr>
        <w:t xml:space="preserve"> trimestre comportent une moyenne d’EMC.</w:t>
      </w:r>
    </w:p>
    <w:p w14:paraId="15A3682F" w14:textId="77777777" w:rsidR="00EC6519" w:rsidRDefault="00DD7001" w:rsidP="00EC6519">
      <w:pPr>
        <w:pStyle w:val="Sansinterligne"/>
        <w:spacing w:before="120"/>
        <w:jc w:val="both"/>
        <w:rPr>
          <w:bCs/>
        </w:rPr>
      </w:pPr>
      <w:r>
        <w:rPr>
          <w:bCs/>
        </w:rPr>
        <w:t>Pour chaque discipline, les équipes</w:t>
      </w:r>
      <w:r w:rsidR="00EC6519">
        <w:rPr>
          <w:bCs/>
        </w:rPr>
        <w:t xml:space="preserve"> travaille</w:t>
      </w:r>
      <w:r>
        <w:rPr>
          <w:bCs/>
        </w:rPr>
        <w:t>nt</w:t>
      </w:r>
      <w:r w:rsidR="00EC6519">
        <w:rPr>
          <w:bCs/>
        </w:rPr>
        <w:t xml:space="preserve"> à une harmonisation de l’évaluation en </w:t>
      </w:r>
      <w:r w:rsidR="005A056B">
        <w:rPr>
          <w:bCs/>
        </w:rPr>
        <w:t>s</w:t>
      </w:r>
      <w:r w:rsidR="00EC6519">
        <w:rPr>
          <w:bCs/>
        </w:rPr>
        <w:t>e mettant d’accord sur les objectifs de formation, le format des évaluations réalisées et les modalités de calcul de la moyenne.</w:t>
      </w:r>
      <w:r w:rsidR="007B2974">
        <w:rPr>
          <w:bCs/>
        </w:rPr>
        <w:t xml:space="preserve"> Ces modalités seront portées à la connaissance des élèves par chaque enseignant.</w:t>
      </w:r>
      <w:r w:rsidR="007B2974" w:rsidRPr="007B2974">
        <w:rPr>
          <w:bCs/>
        </w:rPr>
        <w:t xml:space="preserve"> </w:t>
      </w:r>
      <w:r w:rsidR="007B2974">
        <w:rPr>
          <w:bCs/>
        </w:rPr>
        <w:t>En fonction du nombre et de la nature des évaluations</w:t>
      </w:r>
      <w:r w:rsidR="00732891">
        <w:rPr>
          <w:bCs/>
        </w:rPr>
        <w:t xml:space="preserve"> réalisées</w:t>
      </w:r>
      <w:r w:rsidR="00657126">
        <w:rPr>
          <w:bCs/>
        </w:rPr>
        <w:t>,</w:t>
      </w:r>
      <w:r w:rsidR="007B2974">
        <w:rPr>
          <w:bCs/>
        </w:rPr>
        <w:t xml:space="preserve"> et pour respecter ces modalités définies en équipe, les coefficients</w:t>
      </w:r>
      <w:r w:rsidR="00732891">
        <w:rPr>
          <w:bCs/>
        </w:rPr>
        <w:t xml:space="preserve"> de chaque note</w:t>
      </w:r>
      <w:r w:rsidR="007B2974">
        <w:rPr>
          <w:bCs/>
        </w:rPr>
        <w:t xml:space="preserve"> </w:t>
      </w:r>
      <w:r w:rsidR="00732891">
        <w:rPr>
          <w:bCs/>
        </w:rPr>
        <w:t xml:space="preserve">sont susceptibles d’être ajustés </w:t>
      </w:r>
      <w:r w:rsidR="007B2974">
        <w:rPr>
          <w:bCs/>
        </w:rPr>
        <w:t>en fin de semestre</w:t>
      </w:r>
      <w:r w:rsidR="00732891">
        <w:rPr>
          <w:bCs/>
        </w:rPr>
        <w:t>/trimestre par les enseignants.</w:t>
      </w:r>
    </w:p>
    <w:p w14:paraId="38E08BB9" w14:textId="77777777" w:rsidR="00960817" w:rsidRDefault="00E22C59" w:rsidP="008E00F6">
      <w:pPr>
        <w:pStyle w:val="Sansinterligne"/>
        <w:spacing w:before="120"/>
        <w:jc w:val="both"/>
        <w:rPr>
          <w:bCs/>
        </w:rPr>
      </w:pPr>
      <w:r>
        <w:rPr>
          <w:bCs/>
        </w:rPr>
        <w:t>D</w:t>
      </w:r>
      <w:r w:rsidR="00814390">
        <w:rPr>
          <w:bCs/>
        </w:rPr>
        <w:t>ans certaines disciplin</w:t>
      </w:r>
      <w:r>
        <w:rPr>
          <w:bCs/>
        </w:rPr>
        <w:t>es</w:t>
      </w:r>
      <w:r w:rsidR="00814390">
        <w:rPr>
          <w:bCs/>
        </w:rPr>
        <w:t>, des</w:t>
      </w:r>
      <w:r>
        <w:rPr>
          <w:bCs/>
        </w:rPr>
        <w:t xml:space="preserve"> évaluations communes (à plusieurs classes ou </w:t>
      </w:r>
      <w:r w:rsidR="009778E4">
        <w:rPr>
          <w:bCs/>
        </w:rPr>
        <w:t>à</w:t>
      </w:r>
      <w:r>
        <w:rPr>
          <w:bCs/>
        </w:rPr>
        <w:t xml:space="preserve"> plusieurs groupes) </w:t>
      </w:r>
      <w:r w:rsidR="00814390">
        <w:rPr>
          <w:bCs/>
        </w:rPr>
        <w:t>pourront être</w:t>
      </w:r>
      <w:r>
        <w:rPr>
          <w:bCs/>
        </w:rPr>
        <w:t xml:space="preserve"> réalisées</w:t>
      </w:r>
      <w:r w:rsidRPr="00814390">
        <w:rPr>
          <w:bCs/>
        </w:rPr>
        <w:t>.</w:t>
      </w:r>
      <w:r>
        <w:rPr>
          <w:bCs/>
        </w:rPr>
        <w:t xml:space="preserve"> Les élèves de Première auront notamment trois entra</w:t>
      </w:r>
      <w:r w:rsidR="009778E4">
        <w:rPr>
          <w:bCs/>
        </w:rPr>
        <w:t>î</w:t>
      </w:r>
      <w:r>
        <w:rPr>
          <w:bCs/>
        </w:rPr>
        <w:t xml:space="preserve">nements écrits et </w:t>
      </w:r>
      <w:r w:rsidR="002B7744">
        <w:rPr>
          <w:bCs/>
        </w:rPr>
        <w:t xml:space="preserve">deux </w:t>
      </w:r>
      <w:r>
        <w:rPr>
          <w:bCs/>
        </w:rPr>
        <w:t>entra</w:t>
      </w:r>
      <w:r w:rsidR="009778E4">
        <w:rPr>
          <w:bCs/>
        </w:rPr>
        <w:t>î</w:t>
      </w:r>
      <w:r>
        <w:rPr>
          <w:bCs/>
        </w:rPr>
        <w:t>nemen</w:t>
      </w:r>
      <w:r w:rsidR="002B7744">
        <w:rPr>
          <w:bCs/>
        </w:rPr>
        <w:t>ts</w:t>
      </w:r>
      <w:r>
        <w:rPr>
          <w:bCs/>
        </w:rPr>
        <w:t xml:space="preserve"> ora</w:t>
      </w:r>
      <w:r w:rsidR="002B7744">
        <w:rPr>
          <w:bCs/>
        </w:rPr>
        <w:t>ux</w:t>
      </w:r>
      <w:r>
        <w:rPr>
          <w:bCs/>
        </w:rPr>
        <w:t xml:space="preserve"> aux épreuves terminales de français. Ceux de Terminale bénéficieron</w:t>
      </w:r>
      <w:r w:rsidR="002B7744">
        <w:rPr>
          <w:bCs/>
        </w:rPr>
        <w:t>t</w:t>
      </w:r>
      <w:r>
        <w:rPr>
          <w:bCs/>
        </w:rPr>
        <w:t xml:space="preserve"> de deux entra</w:t>
      </w:r>
      <w:r w:rsidR="009778E4">
        <w:rPr>
          <w:bCs/>
        </w:rPr>
        <w:t>î</w:t>
      </w:r>
      <w:r>
        <w:rPr>
          <w:bCs/>
        </w:rPr>
        <w:t xml:space="preserve">nements à l’épreuve terminale de philosophie. Un bac blanc est également organisé pour les deux enseignements de spécialité suivis en Terminale et pour le </w:t>
      </w:r>
      <w:r w:rsidR="00E40411">
        <w:rPr>
          <w:bCs/>
        </w:rPr>
        <w:t>G</w:t>
      </w:r>
      <w:r>
        <w:rPr>
          <w:bCs/>
        </w:rPr>
        <w:t>rand oral</w:t>
      </w:r>
      <w:r w:rsidR="00960817">
        <w:rPr>
          <w:bCs/>
        </w:rPr>
        <w:t>.</w:t>
      </w:r>
    </w:p>
    <w:p w14:paraId="195CF7F9" w14:textId="77777777" w:rsidR="00BE61FC" w:rsidRDefault="00BE61FC" w:rsidP="007C0F61">
      <w:pPr>
        <w:pStyle w:val="Sansinterligne"/>
        <w:jc w:val="both"/>
        <w:rPr>
          <w:bCs/>
        </w:rPr>
      </w:pPr>
    </w:p>
    <w:p w14:paraId="1EA1D50A" w14:textId="77777777" w:rsidR="007C0F61" w:rsidRPr="008E00F6" w:rsidRDefault="007C0F61" w:rsidP="007C0F61">
      <w:pPr>
        <w:pStyle w:val="Sansinterligne"/>
        <w:jc w:val="both"/>
        <w:rPr>
          <w:bCs/>
        </w:rPr>
      </w:pPr>
    </w:p>
    <w:p w14:paraId="4176A258" w14:textId="77777777" w:rsidR="00EC6519" w:rsidRPr="00E00052" w:rsidRDefault="00EC6519" w:rsidP="00B45F62">
      <w:pPr>
        <w:pStyle w:val="Sansinterligne"/>
        <w:numPr>
          <w:ilvl w:val="0"/>
          <w:numId w:val="3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Gestion de l’absentéisme et de la fraude</w:t>
      </w:r>
    </w:p>
    <w:p w14:paraId="7F3EEF45" w14:textId="77777777" w:rsidR="00960817" w:rsidRPr="00657126" w:rsidRDefault="00EB3EAC" w:rsidP="00657126">
      <w:pPr>
        <w:pStyle w:val="Sansinterligne"/>
        <w:spacing w:before="120"/>
        <w:jc w:val="both"/>
        <w:rPr>
          <w:bCs/>
        </w:rPr>
      </w:pPr>
      <w:r>
        <w:rPr>
          <w:bCs/>
        </w:rPr>
        <w:t>Afin de garantir l’égalité de traitement des élèves</w:t>
      </w:r>
      <w:r w:rsidR="0044352B">
        <w:rPr>
          <w:bCs/>
        </w:rPr>
        <w:t xml:space="preserve">, notamment vis-à-vis du baccalauréat et de </w:t>
      </w:r>
      <w:proofErr w:type="spellStart"/>
      <w:r w:rsidR="0044352B">
        <w:rPr>
          <w:bCs/>
        </w:rPr>
        <w:t>Parcoursup</w:t>
      </w:r>
      <w:proofErr w:type="spellEnd"/>
      <w:r>
        <w:rPr>
          <w:bCs/>
        </w:rPr>
        <w:t>, toute évaluation manquée doit être rattrapée</w:t>
      </w:r>
      <w:r w:rsidR="00960817">
        <w:rPr>
          <w:bCs/>
        </w:rPr>
        <w:t>.</w:t>
      </w:r>
    </w:p>
    <w:p w14:paraId="2C6E1A16" w14:textId="77777777" w:rsidR="00EC6519" w:rsidRDefault="00C01422" w:rsidP="00EC6519">
      <w:pPr>
        <w:pStyle w:val="Sansinterligne"/>
        <w:spacing w:before="120"/>
        <w:jc w:val="both"/>
        <w:rPr>
          <w:bCs/>
        </w:rPr>
      </w:pPr>
      <w:r>
        <w:rPr>
          <w:bCs/>
        </w:rPr>
        <w:t xml:space="preserve">Dans le cas d’une absence ponctuelle à une évaluation, un rattrapage sera systématiquement </w:t>
      </w:r>
      <w:r w:rsidR="009778E4">
        <w:rPr>
          <w:bCs/>
        </w:rPr>
        <w:t xml:space="preserve">effectué par </w:t>
      </w:r>
      <w:r>
        <w:rPr>
          <w:bCs/>
        </w:rPr>
        <w:t xml:space="preserve">l’élève. </w:t>
      </w:r>
      <w:r w:rsidR="00EC6519">
        <w:rPr>
          <w:bCs/>
        </w:rPr>
        <w:t xml:space="preserve">Ce rattrapage </w:t>
      </w:r>
      <w:r w:rsidR="009778E4">
        <w:rPr>
          <w:bCs/>
        </w:rPr>
        <w:t>se fera</w:t>
      </w:r>
      <w:r w:rsidR="00EC6519">
        <w:rPr>
          <w:bCs/>
        </w:rPr>
        <w:t xml:space="preserve"> au retour en classe ou bien un samedi matin, selon </w:t>
      </w:r>
      <w:r w:rsidR="00EB3EAC">
        <w:rPr>
          <w:bCs/>
        </w:rPr>
        <w:t xml:space="preserve">la nature de l’épreuve et à </w:t>
      </w:r>
      <w:r w:rsidR="00EC6519">
        <w:rPr>
          <w:bCs/>
        </w:rPr>
        <w:t>l’appréciation du professeur. En cas d’absence</w:t>
      </w:r>
      <w:r w:rsidR="00EB3EAC">
        <w:rPr>
          <w:bCs/>
        </w:rPr>
        <w:t xml:space="preserve"> </w:t>
      </w:r>
      <w:r w:rsidR="00EC6519">
        <w:rPr>
          <w:bCs/>
        </w:rPr>
        <w:t>à l’évaluation de rattrapage</w:t>
      </w:r>
      <w:r w:rsidR="009778E4">
        <w:rPr>
          <w:bCs/>
        </w:rPr>
        <w:t>,</w:t>
      </w:r>
      <w:r w:rsidR="00EB3EAC">
        <w:rPr>
          <w:bCs/>
        </w:rPr>
        <w:t xml:space="preserve"> l’élève ne sera pas noté</w:t>
      </w:r>
      <w:r>
        <w:rPr>
          <w:bCs/>
        </w:rPr>
        <w:t>.</w:t>
      </w:r>
      <w:r w:rsidR="00017459">
        <w:rPr>
          <w:bCs/>
        </w:rPr>
        <w:t xml:space="preserve"> Dans ce cas, la mention</w:t>
      </w:r>
      <w:r w:rsidR="00410C77">
        <w:rPr>
          <w:bCs/>
        </w:rPr>
        <w:t xml:space="preserve"> « En Attente » (EA)</w:t>
      </w:r>
      <w:r w:rsidR="00017459">
        <w:rPr>
          <w:bCs/>
        </w:rPr>
        <w:t xml:space="preserve"> se</w:t>
      </w:r>
      <w:r w:rsidR="00410C77">
        <w:rPr>
          <w:bCs/>
        </w:rPr>
        <w:t>ra indiquée sur Ecole directe à la place de la note manquante. Cette mention bloque le calcul de la moyenne semestrielle</w:t>
      </w:r>
      <w:r w:rsidR="00732891">
        <w:rPr>
          <w:bCs/>
        </w:rPr>
        <w:t>/trimestrielle</w:t>
      </w:r>
      <w:r w:rsidR="00410C77">
        <w:rPr>
          <w:bCs/>
        </w:rPr>
        <w:t xml:space="preserve"> (même si l’élève à d’autres notes). L’élève devra alors se soumettre à une évaluation </w:t>
      </w:r>
      <w:r w:rsidR="008625BA">
        <w:rPr>
          <w:bCs/>
        </w:rPr>
        <w:t xml:space="preserve">de rattrapage </w:t>
      </w:r>
      <w:r w:rsidR="00410C77">
        <w:rPr>
          <w:bCs/>
        </w:rPr>
        <w:t xml:space="preserve">avant la fin du semestre, selon des modalités fixées par son professeur, afin de remplacer les notes « En Attente » et ainsi débloquer le calcul de la moyenne. Dans le cas contraire, </w:t>
      </w:r>
      <w:r w:rsidR="00732891">
        <w:rPr>
          <w:bCs/>
        </w:rPr>
        <w:t>le bulletin de l’élève ne disposera d’aucune moyenne pour la discipline concernée.</w:t>
      </w:r>
    </w:p>
    <w:p w14:paraId="16EB86C0" w14:textId="77777777" w:rsidR="00EC6519" w:rsidRDefault="00EC6519" w:rsidP="00EC6519">
      <w:pPr>
        <w:pStyle w:val="Sansinterligne"/>
        <w:spacing w:before="120"/>
        <w:jc w:val="both"/>
        <w:rPr>
          <w:bCs/>
        </w:rPr>
      </w:pPr>
      <w:r>
        <w:rPr>
          <w:bCs/>
        </w:rPr>
        <w:t>La gestion des situations de fraude</w:t>
      </w:r>
      <w:r w:rsidR="0063237D">
        <w:rPr>
          <w:bCs/>
        </w:rPr>
        <w:t xml:space="preserve"> </w:t>
      </w:r>
      <w:r w:rsidR="0091547B">
        <w:rPr>
          <w:bCs/>
        </w:rPr>
        <w:t xml:space="preserve">ou de tentative de fraude </w:t>
      </w:r>
      <w:r>
        <w:rPr>
          <w:bCs/>
        </w:rPr>
        <w:t>relève de la responsabilité des professeurs et s’exerce dans le cadre défini par le règlement intérieur de l’établissement</w:t>
      </w:r>
      <w:r w:rsidR="0088747C">
        <w:rPr>
          <w:bCs/>
        </w:rPr>
        <w:t xml:space="preserve"> et les articles D.334-25 à R.334-35 du </w:t>
      </w:r>
      <w:r w:rsidR="00A17553">
        <w:rPr>
          <w:bCs/>
        </w:rPr>
        <w:t>C</w:t>
      </w:r>
      <w:r w:rsidR="0088747C">
        <w:rPr>
          <w:bCs/>
        </w:rPr>
        <w:t>ode de l’éducation</w:t>
      </w:r>
      <w:r w:rsidR="003C0B03">
        <w:rPr>
          <w:bCs/>
        </w:rPr>
        <w:t xml:space="preserve"> (procédure disciplinaire applicable aux candidats au baccalauréat)</w:t>
      </w:r>
      <w:r>
        <w:rPr>
          <w:bCs/>
        </w:rPr>
        <w:t>. Si une fraude</w:t>
      </w:r>
      <w:r w:rsidR="0063237D">
        <w:rPr>
          <w:bCs/>
        </w:rPr>
        <w:t xml:space="preserve"> ou </w:t>
      </w:r>
      <w:r w:rsidR="0091547B">
        <w:rPr>
          <w:bCs/>
        </w:rPr>
        <w:t>une tentative de fraude</w:t>
      </w:r>
      <w:r>
        <w:rPr>
          <w:bCs/>
        </w:rPr>
        <w:t xml:space="preserve"> est constatée, le travail de l’élève </w:t>
      </w:r>
      <w:r w:rsidR="0088747C">
        <w:rPr>
          <w:bCs/>
        </w:rPr>
        <w:t xml:space="preserve">peut ne </w:t>
      </w:r>
      <w:r>
        <w:rPr>
          <w:bCs/>
        </w:rPr>
        <w:t>pas</w:t>
      </w:r>
      <w:r w:rsidR="0088747C">
        <w:rPr>
          <w:bCs/>
        </w:rPr>
        <w:t xml:space="preserve"> être </w:t>
      </w:r>
      <w:r w:rsidR="00960817">
        <w:rPr>
          <w:bCs/>
        </w:rPr>
        <w:t>noté</w:t>
      </w:r>
      <w:r w:rsidR="00410C77">
        <w:rPr>
          <w:bCs/>
        </w:rPr>
        <w:t xml:space="preserve"> (mention « En Attente » indiquée sur Ecole directe)</w:t>
      </w:r>
      <w:r>
        <w:rPr>
          <w:bCs/>
        </w:rPr>
        <w:t xml:space="preserve"> et une sanction disciplinaire est prononcée</w:t>
      </w:r>
      <w:r w:rsidR="00C01422">
        <w:rPr>
          <w:bCs/>
        </w:rPr>
        <w:t>.</w:t>
      </w:r>
    </w:p>
    <w:p w14:paraId="649D3589" w14:textId="77777777" w:rsidR="0063237D" w:rsidRDefault="0063237D" w:rsidP="00EC6519">
      <w:pPr>
        <w:pStyle w:val="Sansinterligne"/>
        <w:spacing w:before="120"/>
        <w:jc w:val="both"/>
        <w:rPr>
          <w:bCs/>
        </w:rPr>
      </w:pPr>
    </w:p>
    <w:p w14:paraId="7E1BB50A" w14:textId="77777777" w:rsidR="0063237D" w:rsidRPr="0063237D" w:rsidRDefault="0063237D" w:rsidP="0063237D">
      <w:pPr>
        <w:pStyle w:val="Sansinterligne"/>
        <w:numPr>
          <w:ilvl w:val="0"/>
          <w:numId w:val="5"/>
        </w:numPr>
        <w:jc w:val="both"/>
      </w:pPr>
      <w:r>
        <w:rPr>
          <w:b/>
          <w:bCs/>
        </w:rPr>
        <w:t>Moyenne non significative et évaluation de remplacement en classe de Première et de Terminale</w:t>
      </w:r>
    </w:p>
    <w:p w14:paraId="07FD2C89" w14:textId="77777777" w:rsidR="00002697" w:rsidRPr="00002697" w:rsidRDefault="009C41C9" w:rsidP="00EC6519">
      <w:pPr>
        <w:pStyle w:val="Sansinterligne"/>
        <w:spacing w:before="120"/>
        <w:jc w:val="both"/>
        <w:rPr>
          <w:bCs/>
          <w:strike/>
        </w:rPr>
      </w:pPr>
      <w:r w:rsidRPr="00002697">
        <w:rPr>
          <w:bCs/>
        </w:rPr>
        <w:t>E</w:t>
      </w:r>
      <w:r w:rsidR="00960817" w:rsidRPr="00002697">
        <w:rPr>
          <w:bCs/>
        </w:rPr>
        <w:t xml:space="preserve">n fin </w:t>
      </w:r>
      <w:r w:rsidR="00DD61D3" w:rsidRPr="00002697">
        <w:rPr>
          <w:bCs/>
        </w:rPr>
        <w:t>d’année,</w:t>
      </w:r>
      <w:r w:rsidR="00960817" w:rsidRPr="00002697">
        <w:rPr>
          <w:bCs/>
        </w:rPr>
        <w:t xml:space="preserve"> sous la responsabilité du chef d’établissement, la moyenne </w:t>
      </w:r>
      <w:r w:rsidR="00DD61D3" w:rsidRPr="00002697">
        <w:rPr>
          <w:bCs/>
        </w:rPr>
        <w:t xml:space="preserve">annuelle </w:t>
      </w:r>
      <w:r w:rsidR="00960817" w:rsidRPr="00002697">
        <w:rPr>
          <w:bCs/>
        </w:rPr>
        <w:t xml:space="preserve">d’un </w:t>
      </w:r>
      <w:r w:rsidR="00002697" w:rsidRPr="00002697">
        <w:rPr>
          <w:bCs/>
        </w:rPr>
        <w:t xml:space="preserve">élève </w:t>
      </w:r>
      <w:r w:rsidR="0063237D">
        <w:rPr>
          <w:bCs/>
        </w:rPr>
        <w:t xml:space="preserve">de Première ou de Terminale </w:t>
      </w:r>
      <w:r w:rsidR="00002697" w:rsidRPr="00002697">
        <w:rPr>
          <w:bCs/>
        </w:rPr>
        <w:t xml:space="preserve">ne </w:t>
      </w:r>
      <w:r w:rsidR="004875BC" w:rsidRPr="00002697">
        <w:rPr>
          <w:bCs/>
        </w:rPr>
        <w:t>sera pas</w:t>
      </w:r>
      <w:r w:rsidR="00960817" w:rsidRPr="00002697">
        <w:rPr>
          <w:bCs/>
        </w:rPr>
        <w:t xml:space="preserve"> retenue si elle est jugée non significative en raison du manque de notes dû à l’absentéisme ou à la </w:t>
      </w:r>
      <w:r w:rsidR="004875BC" w:rsidRPr="00002697">
        <w:rPr>
          <w:bCs/>
        </w:rPr>
        <w:t>fraude.</w:t>
      </w:r>
    </w:p>
    <w:p w14:paraId="16A22677" w14:textId="77777777" w:rsidR="00002697" w:rsidRDefault="0044352B" w:rsidP="00EC6519">
      <w:pPr>
        <w:pStyle w:val="Sansinterligne"/>
        <w:spacing w:before="120"/>
        <w:jc w:val="both"/>
      </w:pPr>
      <w:r>
        <w:t>La</w:t>
      </w:r>
      <w:r w:rsidR="00002697">
        <w:t xml:space="preserve"> moyenne annuelle d’une discipline </w:t>
      </w:r>
      <w:r w:rsidR="00410C77">
        <w:t>peut être</w:t>
      </w:r>
      <w:r w:rsidR="00002697">
        <w:t xml:space="preserve"> considérée comme </w:t>
      </w:r>
      <w:r w:rsidR="00E81D97">
        <w:t xml:space="preserve">non </w:t>
      </w:r>
      <w:r w:rsidR="004875BC">
        <w:t>significative</w:t>
      </w:r>
      <w:r w:rsidR="00E81D97">
        <w:t> </w:t>
      </w:r>
      <w:r w:rsidR="00B53ABC">
        <w:t xml:space="preserve">pour une ou plusieurs des raisons suivantes </w:t>
      </w:r>
      <w:r w:rsidR="00E81D97">
        <w:t>:</w:t>
      </w:r>
    </w:p>
    <w:p w14:paraId="65AA5A87" w14:textId="77777777" w:rsidR="004875BC" w:rsidRPr="00E81D97" w:rsidRDefault="00E81D97" w:rsidP="004875BC">
      <w:pPr>
        <w:pStyle w:val="Sansinterligne"/>
        <w:numPr>
          <w:ilvl w:val="0"/>
          <w:numId w:val="2"/>
        </w:numPr>
        <w:spacing w:before="120"/>
        <w:jc w:val="both"/>
        <w:rPr>
          <w:bCs/>
        </w:rPr>
      </w:pPr>
      <w:proofErr w:type="gramStart"/>
      <w:r w:rsidRPr="00E81D97">
        <w:t>si</w:t>
      </w:r>
      <w:proofErr w:type="gramEnd"/>
      <w:r w:rsidRPr="00E81D97">
        <w:t xml:space="preserve"> </w:t>
      </w:r>
      <w:r w:rsidR="00002697" w:rsidRPr="00E81D97">
        <w:t xml:space="preserve">l’élève </w:t>
      </w:r>
      <w:r w:rsidRPr="00E81D97">
        <w:t>n’a pas</w:t>
      </w:r>
      <w:r w:rsidR="00002697" w:rsidRPr="00E81D97">
        <w:t xml:space="preserve"> réalisé </w:t>
      </w:r>
      <w:r w:rsidR="00002697" w:rsidRPr="00E81D97">
        <w:rPr>
          <w:bCs/>
        </w:rPr>
        <w:t>les évaluations communes proposées et les épreuves de bac blanc</w:t>
      </w:r>
      <w:r w:rsidR="004875BC" w:rsidRPr="00E81D97">
        <w:rPr>
          <w:bCs/>
        </w:rPr>
        <w:t> ;</w:t>
      </w:r>
    </w:p>
    <w:p w14:paraId="535FC8D4" w14:textId="77777777" w:rsidR="00002697" w:rsidRPr="00E81D97" w:rsidRDefault="00E81D97" w:rsidP="004875BC">
      <w:pPr>
        <w:pStyle w:val="Sansinterligne"/>
        <w:numPr>
          <w:ilvl w:val="0"/>
          <w:numId w:val="2"/>
        </w:numPr>
        <w:spacing w:before="120"/>
        <w:jc w:val="both"/>
        <w:rPr>
          <w:bCs/>
        </w:rPr>
      </w:pPr>
      <w:proofErr w:type="gramStart"/>
      <w:r w:rsidRPr="00E81D97">
        <w:t>si</w:t>
      </w:r>
      <w:proofErr w:type="gramEnd"/>
      <w:r w:rsidRPr="00E81D97">
        <w:t xml:space="preserve"> </w:t>
      </w:r>
      <w:r w:rsidR="00002697" w:rsidRPr="00E81D97">
        <w:t xml:space="preserve">cette moyenne représente moins </w:t>
      </w:r>
      <w:r w:rsidRPr="00E81D97">
        <w:t xml:space="preserve">de </w:t>
      </w:r>
      <w:r w:rsidR="00002697" w:rsidRPr="00E81D97">
        <w:t>70% du poids des évaluations de l’année</w:t>
      </w:r>
      <w:r w:rsidRPr="00E81D97">
        <w:t> ;</w:t>
      </w:r>
    </w:p>
    <w:p w14:paraId="1CA85A6A" w14:textId="77777777" w:rsidR="00E81D97" w:rsidRDefault="00E81D97" w:rsidP="004875BC">
      <w:pPr>
        <w:pStyle w:val="Sansinterligne"/>
        <w:numPr>
          <w:ilvl w:val="0"/>
          <w:numId w:val="2"/>
        </w:numPr>
        <w:spacing w:before="120"/>
        <w:jc w:val="both"/>
        <w:rPr>
          <w:bCs/>
        </w:rPr>
      </w:pPr>
      <w:proofErr w:type="gramStart"/>
      <w:r w:rsidRPr="00E81D97">
        <w:rPr>
          <w:bCs/>
        </w:rPr>
        <w:t>si</w:t>
      </w:r>
      <w:proofErr w:type="gramEnd"/>
      <w:r>
        <w:rPr>
          <w:bCs/>
        </w:rPr>
        <w:t xml:space="preserve"> l’élève </w:t>
      </w:r>
      <w:r w:rsidR="00B53ABC">
        <w:rPr>
          <w:bCs/>
        </w:rPr>
        <w:t>a</w:t>
      </w:r>
      <w:r>
        <w:rPr>
          <w:bCs/>
        </w:rPr>
        <w:t xml:space="preserve"> fraudé au cours de l’année</w:t>
      </w:r>
      <w:r w:rsidR="0063237D">
        <w:rPr>
          <w:bCs/>
        </w:rPr>
        <w:t> ;</w:t>
      </w:r>
    </w:p>
    <w:p w14:paraId="01A14F7B" w14:textId="77777777" w:rsidR="0063237D" w:rsidRPr="00E81D97" w:rsidRDefault="0063237D" w:rsidP="004875BC">
      <w:pPr>
        <w:pStyle w:val="Sansinterligne"/>
        <w:numPr>
          <w:ilvl w:val="0"/>
          <w:numId w:val="2"/>
        </w:numPr>
        <w:spacing w:before="120"/>
        <w:jc w:val="both"/>
        <w:rPr>
          <w:bCs/>
        </w:rPr>
      </w:pPr>
      <w:proofErr w:type="gramStart"/>
      <w:r>
        <w:rPr>
          <w:bCs/>
        </w:rPr>
        <w:t>si</w:t>
      </w:r>
      <w:proofErr w:type="gramEnd"/>
      <w:r>
        <w:rPr>
          <w:bCs/>
        </w:rPr>
        <w:t xml:space="preserve"> la mention « En Attente » </w:t>
      </w:r>
      <w:r w:rsidR="0091547B">
        <w:rPr>
          <w:bCs/>
        </w:rPr>
        <w:t xml:space="preserve">remplace </w:t>
      </w:r>
      <w:r>
        <w:rPr>
          <w:bCs/>
        </w:rPr>
        <w:t>une moyenne semestrielle</w:t>
      </w:r>
      <w:r w:rsidR="00732891">
        <w:rPr>
          <w:bCs/>
        </w:rPr>
        <w:t>/trimestrielle</w:t>
      </w:r>
      <w:r>
        <w:rPr>
          <w:bCs/>
        </w:rPr>
        <w:t>.</w:t>
      </w:r>
    </w:p>
    <w:p w14:paraId="2472D34A" w14:textId="77777777" w:rsidR="00755791" w:rsidRDefault="00814390" w:rsidP="00755791">
      <w:pPr>
        <w:pStyle w:val="Sansinterligne"/>
        <w:spacing w:before="120"/>
        <w:jc w:val="both"/>
        <w:rPr>
          <w:bCs/>
        </w:rPr>
      </w:pPr>
      <w:r w:rsidRPr="00E81D97">
        <w:rPr>
          <w:bCs/>
        </w:rPr>
        <w:t>Ces situations seront</w:t>
      </w:r>
      <w:r w:rsidRPr="004875BC">
        <w:rPr>
          <w:bCs/>
        </w:rPr>
        <w:t xml:space="preserve"> </w:t>
      </w:r>
      <w:r w:rsidR="00065901" w:rsidRPr="004875BC">
        <w:rPr>
          <w:bCs/>
        </w:rPr>
        <w:t>signalées par chaque professeu</w:t>
      </w:r>
      <w:r w:rsidR="00732891">
        <w:rPr>
          <w:bCs/>
        </w:rPr>
        <w:t>r</w:t>
      </w:r>
      <w:r w:rsidRPr="004875BC">
        <w:rPr>
          <w:bCs/>
        </w:rPr>
        <w:t>.</w:t>
      </w:r>
    </w:p>
    <w:p w14:paraId="64207ACC" w14:textId="77777777" w:rsidR="00755791" w:rsidRDefault="00755791" w:rsidP="00755791">
      <w:pPr>
        <w:pStyle w:val="Sansinterligne"/>
        <w:spacing w:before="120"/>
        <w:jc w:val="both"/>
        <w:rPr>
          <w:bCs/>
        </w:rPr>
      </w:pPr>
    </w:p>
    <w:p w14:paraId="4D13E34D" w14:textId="77777777" w:rsidR="00755791" w:rsidRDefault="00755791" w:rsidP="00002697">
      <w:pPr>
        <w:pStyle w:val="Sansinterligne"/>
        <w:spacing w:before="120"/>
        <w:jc w:val="both"/>
        <w:rPr>
          <w:bCs/>
        </w:rPr>
      </w:pPr>
      <w:r>
        <w:rPr>
          <w:bCs/>
        </w:rPr>
        <w:t xml:space="preserve">Si </w:t>
      </w:r>
      <w:r w:rsidR="00160750">
        <w:rPr>
          <w:bCs/>
        </w:rPr>
        <w:t>une</w:t>
      </w:r>
      <w:r>
        <w:rPr>
          <w:bCs/>
        </w:rPr>
        <w:t xml:space="preserve"> moyenne annuelle e</w:t>
      </w:r>
      <w:r w:rsidR="00160750">
        <w:rPr>
          <w:bCs/>
        </w:rPr>
        <w:t xml:space="preserve">st </w:t>
      </w:r>
      <w:r>
        <w:rPr>
          <w:bCs/>
        </w:rPr>
        <w:t>non significative pour une discipline évaluée en contrôle terminal, l’indication « Non noté » apparaitra sur le livret scolaire de l’élève.</w:t>
      </w:r>
    </w:p>
    <w:p w14:paraId="0F03D472" w14:textId="77777777" w:rsidR="0044352B" w:rsidRDefault="00755791" w:rsidP="00EC6519">
      <w:pPr>
        <w:pStyle w:val="Sansinterligne"/>
        <w:spacing w:before="120"/>
        <w:jc w:val="both"/>
        <w:rPr>
          <w:bCs/>
        </w:rPr>
      </w:pPr>
      <w:r>
        <w:rPr>
          <w:bCs/>
        </w:rPr>
        <w:t xml:space="preserve">Si </w:t>
      </w:r>
      <w:r w:rsidR="00160750">
        <w:rPr>
          <w:bCs/>
        </w:rPr>
        <w:t>une</w:t>
      </w:r>
      <w:r>
        <w:rPr>
          <w:bCs/>
        </w:rPr>
        <w:t xml:space="preserve"> moyenne annuelle est non significative pour une discipline évaluée en contrôle continu, l’élève sera</w:t>
      </w:r>
      <w:r w:rsidR="009778E4" w:rsidRPr="004875BC">
        <w:rPr>
          <w:bCs/>
        </w:rPr>
        <w:t xml:space="preserve"> alors</w:t>
      </w:r>
      <w:r w:rsidR="00065901" w:rsidRPr="004875BC">
        <w:rPr>
          <w:bCs/>
        </w:rPr>
        <w:t xml:space="preserve"> </w:t>
      </w:r>
      <w:r>
        <w:rPr>
          <w:bCs/>
        </w:rPr>
        <w:t>c</w:t>
      </w:r>
      <w:r w:rsidR="00960817" w:rsidRPr="004875BC">
        <w:rPr>
          <w:bCs/>
        </w:rPr>
        <w:t xml:space="preserve">onvoqué à une évaluation </w:t>
      </w:r>
      <w:r w:rsidR="0044352B">
        <w:rPr>
          <w:bCs/>
        </w:rPr>
        <w:t>de remplacement</w:t>
      </w:r>
      <w:r w:rsidR="0063237D">
        <w:rPr>
          <w:bCs/>
        </w:rPr>
        <w:t xml:space="preserve"> en fin d’année scolaire </w:t>
      </w:r>
      <w:r w:rsidR="00960817" w:rsidRPr="004875BC">
        <w:rPr>
          <w:bCs/>
        </w:rPr>
        <w:t xml:space="preserve">dont la note </w:t>
      </w:r>
      <w:r w:rsidR="00160750">
        <w:rPr>
          <w:bCs/>
        </w:rPr>
        <w:t>remplacera</w:t>
      </w:r>
      <w:r w:rsidR="00960817" w:rsidRPr="004875BC">
        <w:rPr>
          <w:bCs/>
        </w:rPr>
        <w:t xml:space="preserve"> la moyenne </w:t>
      </w:r>
      <w:r w:rsidR="005E6E46" w:rsidRPr="004875BC">
        <w:rPr>
          <w:bCs/>
        </w:rPr>
        <w:t xml:space="preserve">annuelle </w:t>
      </w:r>
      <w:r w:rsidR="008625BA">
        <w:rPr>
          <w:bCs/>
        </w:rPr>
        <w:t>sur le livret scolaire et pour le baccalauréat.</w:t>
      </w:r>
      <w:r w:rsidR="00160750">
        <w:rPr>
          <w:bCs/>
        </w:rPr>
        <w:t xml:space="preserve"> En</w:t>
      </w:r>
      <w:r w:rsidR="00960817">
        <w:rPr>
          <w:bCs/>
        </w:rPr>
        <w:t xml:space="preserve"> cas d</w:t>
      </w:r>
      <w:r w:rsidR="00160750">
        <w:rPr>
          <w:bCs/>
        </w:rPr>
        <w:t>’</w:t>
      </w:r>
      <w:r w:rsidR="00960817">
        <w:rPr>
          <w:bCs/>
        </w:rPr>
        <w:t xml:space="preserve">absence </w:t>
      </w:r>
      <w:r w:rsidR="00160750">
        <w:rPr>
          <w:bCs/>
        </w:rPr>
        <w:t xml:space="preserve">non </w:t>
      </w:r>
      <w:r w:rsidR="00960817">
        <w:rPr>
          <w:bCs/>
        </w:rPr>
        <w:t>justifiée à cette évaluation</w:t>
      </w:r>
      <w:r w:rsidR="0044352B">
        <w:rPr>
          <w:bCs/>
        </w:rPr>
        <w:t xml:space="preserve"> de remplacement</w:t>
      </w:r>
      <w:r w:rsidR="00960817">
        <w:rPr>
          <w:bCs/>
        </w:rPr>
        <w:t xml:space="preserve">, la note zéro </w:t>
      </w:r>
      <w:r w:rsidR="00160750">
        <w:rPr>
          <w:bCs/>
        </w:rPr>
        <w:t>sera</w:t>
      </w:r>
      <w:r w:rsidR="00960817">
        <w:rPr>
          <w:bCs/>
        </w:rPr>
        <w:t xml:space="preserve"> attribuée.</w:t>
      </w:r>
    </w:p>
    <w:p w14:paraId="20F9DA3B" w14:textId="77777777" w:rsidR="00160750" w:rsidRDefault="00160750" w:rsidP="00EC6519">
      <w:pPr>
        <w:pStyle w:val="Sansinterligne"/>
        <w:spacing w:before="120"/>
        <w:jc w:val="both"/>
        <w:rPr>
          <w:bCs/>
        </w:rPr>
      </w:pPr>
    </w:p>
    <w:p w14:paraId="2C35C17B" w14:textId="77777777" w:rsidR="00D95E57" w:rsidRDefault="00065901" w:rsidP="007C0F61">
      <w:pPr>
        <w:pStyle w:val="Sansinterligne"/>
        <w:spacing w:before="120"/>
        <w:jc w:val="both"/>
        <w:rPr>
          <w:bCs/>
        </w:rPr>
      </w:pPr>
      <w:r>
        <w:rPr>
          <w:bCs/>
        </w:rPr>
        <w:t xml:space="preserve">Ce projet d’évaluation, écrit en concertation avec les équipes éducatives, vise avant tout à garantir une équité de traitement de nos élèves pour l’obtention du baccalauréat. Il ne remplace en rien l’accompagnement individuel de chaque jeune </w:t>
      </w:r>
      <w:r w:rsidR="00D95E57">
        <w:rPr>
          <w:bCs/>
        </w:rPr>
        <w:t>qui passe avant tout par l’échange et le</w:t>
      </w:r>
      <w:r>
        <w:rPr>
          <w:bCs/>
        </w:rPr>
        <w:t xml:space="preserve"> dialogue avec les </w:t>
      </w:r>
      <w:r w:rsidR="00D95E57">
        <w:rPr>
          <w:bCs/>
        </w:rPr>
        <w:t>élèves et les familles. Il sera appliqué avec l’exigence et la bienveillance qui caractérisent notre établissement.</w:t>
      </w:r>
    </w:p>
    <w:sectPr w:rsidR="00D95E57" w:rsidSect="007334BA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5C5E1" w14:textId="77777777" w:rsidR="00083240" w:rsidRDefault="00083240">
      <w:pPr>
        <w:spacing w:after="0" w:line="240" w:lineRule="auto"/>
      </w:pPr>
      <w:r>
        <w:separator/>
      </w:r>
    </w:p>
  </w:endnote>
  <w:endnote w:type="continuationSeparator" w:id="0">
    <w:p w14:paraId="3B2D1808" w14:textId="77777777" w:rsidR="00083240" w:rsidRDefault="0008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E65A" w14:textId="1CB80AE7" w:rsidR="00131B13" w:rsidRPr="007334BA" w:rsidRDefault="007334BA" w:rsidP="007334BA">
    <w:pPr>
      <w:pStyle w:val="Pieddepage"/>
      <w:jc w:val="center"/>
      <w:rPr>
        <w:sz w:val="18"/>
      </w:rPr>
    </w:pPr>
    <w:r w:rsidRPr="007334BA">
      <w:rPr>
        <w:sz w:val="18"/>
      </w:rPr>
      <w:t>Projet d’évaluation 20</w:t>
    </w:r>
    <w:r w:rsidR="00A27BE1">
      <w:rPr>
        <w:sz w:val="18"/>
      </w:rPr>
      <w:t>2</w:t>
    </w:r>
    <w:r w:rsidR="00FB2F92">
      <w:rPr>
        <w:sz w:val="18"/>
      </w:rPr>
      <w:t>3</w:t>
    </w:r>
    <w:r w:rsidRPr="007334BA">
      <w:rPr>
        <w:sz w:val="18"/>
      </w:rPr>
      <w:t>-202</w:t>
    </w:r>
    <w:r w:rsidR="00FB2F92">
      <w:rPr>
        <w:sz w:val="18"/>
      </w:rPr>
      <w:t>4</w:t>
    </w:r>
    <w:r>
      <w:rPr>
        <w:sz w:val="18"/>
      </w:rPr>
      <w:t xml:space="preserve"> du l</w:t>
    </w:r>
    <w:r w:rsidRPr="007334BA">
      <w:rPr>
        <w:sz w:val="18"/>
      </w:rPr>
      <w:t>ycée Notre-Dame de La Merci</w:t>
    </w:r>
    <w:r>
      <w:rPr>
        <w:sz w:val="18"/>
      </w:rPr>
      <w:t xml:space="preserve">                                                                                                                                       </w:t>
    </w:r>
    <w:sdt>
      <w:sdtPr>
        <w:rPr>
          <w:sz w:val="18"/>
        </w:rPr>
        <w:id w:val="1553960166"/>
        <w:docPartObj>
          <w:docPartGallery w:val="Page Numbers (Bottom of Page)"/>
          <w:docPartUnique/>
        </w:docPartObj>
      </w:sdtPr>
      <w:sdtEndPr/>
      <w:sdtContent>
        <w:r w:rsidRPr="007334BA">
          <w:rPr>
            <w:sz w:val="18"/>
          </w:rPr>
          <w:fldChar w:fldCharType="begin"/>
        </w:r>
        <w:r w:rsidRPr="007334BA">
          <w:rPr>
            <w:sz w:val="18"/>
          </w:rPr>
          <w:instrText>PAGE   \* MERGEFORMAT</w:instrText>
        </w:r>
        <w:r w:rsidRPr="007334BA">
          <w:rPr>
            <w:sz w:val="18"/>
          </w:rPr>
          <w:fldChar w:fldCharType="separate"/>
        </w:r>
        <w:r>
          <w:rPr>
            <w:sz w:val="18"/>
          </w:rPr>
          <w:t>1</w:t>
        </w:r>
        <w:r w:rsidRPr="007334BA">
          <w:rPr>
            <w:sz w:val="18"/>
          </w:rPr>
          <w:fldChar w:fldCharType="end"/>
        </w:r>
        <w:r w:rsidRPr="007334BA">
          <w:rPr>
            <w:sz w:val="18"/>
          </w:rPr>
          <w:t>/</w:t>
        </w:r>
        <w:r w:rsidR="0044352B">
          <w:rPr>
            <w:sz w:val="18"/>
          </w:rPr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4C0C3" w14:textId="77777777" w:rsidR="007334BA" w:rsidRPr="007334BA" w:rsidRDefault="007334BA" w:rsidP="007334BA">
    <w:pPr>
      <w:pStyle w:val="Pieddepage"/>
      <w:jc w:val="center"/>
      <w:rPr>
        <w:sz w:val="18"/>
      </w:rPr>
    </w:pPr>
    <w:r w:rsidRPr="007334BA">
      <w:rPr>
        <w:sz w:val="18"/>
      </w:rPr>
      <w:t>Projet d’évaluation</w:t>
    </w:r>
    <w:r w:rsidR="00DD375E">
      <w:rPr>
        <w:sz w:val="18"/>
      </w:rPr>
      <w:t xml:space="preserve"> -</w:t>
    </w:r>
    <w:r w:rsidRPr="007334BA">
      <w:rPr>
        <w:sz w:val="18"/>
      </w:rPr>
      <w:t xml:space="preserve"> 202</w:t>
    </w:r>
    <w:r w:rsidR="00DD375E">
      <w:rPr>
        <w:sz w:val="18"/>
      </w:rPr>
      <w:t>2</w:t>
    </w:r>
    <w:r w:rsidRPr="007334BA">
      <w:rPr>
        <w:sz w:val="18"/>
      </w:rPr>
      <w:t>-202</w:t>
    </w:r>
    <w:r w:rsidR="00DD375E">
      <w:rPr>
        <w:sz w:val="18"/>
      </w:rPr>
      <w:t>3</w:t>
    </w:r>
    <w:r>
      <w:rPr>
        <w:sz w:val="18"/>
      </w:rPr>
      <w:t xml:space="preserve"> </w:t>
    </w:r>
    <w:r w:rsidR="00DD375E">
      <w:rPr>
        <w:sz w:val="18"/>
      </w:rPr>
      <w:t>- L</w:t>
    </w:r>
    <w:r w:rsidRPr="007334BA">
      <w:rPr>
        <w:sz w:val="18"/>
      </w:rPr>
      <w:t>ycée Notre-Dame de La Merci</w:t>
    </w:r>
    <w:r>
      <w:rPr>
        <w:sz w:val="18"/>
      </w:rPr>
      <w:t xml:space="preserve">                                                                                                                                       </w:t>
    </w:r>
    <w:sdt>
      <w:sdtPr>
        <w:rPr>
          <w:sz w:val="18"/>
        </w:rPr>
        <w:id w:val="-39433713"/>
        <w:docPartObj>
          <w:docPartGallery w:val="Page Numbers (Bottom of Page)"/>
          <w:docPartUnique/>
        </w:docPartObj>
      </w:sdtPr>
      <w:sdtEndPr/>
      <w:sdtContent>
        <w:r w:rsidRPr="007334BA">
          <w:rPr>
            <w:sz w:val="18"/>
          </w:rPr>
          <w:fldChar w:fldCharType="begin"/>
        </w:r>
        <w:r w:rsidRPr="007334BA">
          <w:rPr>
            <w:sz w:val="18"/>
          </w:rPr>
          <w:instrText>PAGE   \* MERGEFORMAT</w:instrText>
        </w:r>
        <w:r w:rsidRPr="007334BA">
          <w:rPr>
            <w:sz w:val="18"/>
          </w:rPr>
          <w:fldChar w:fldCharType="separate"/>
        </w:r>
        <w:r>
          <w:rPr>
            <w:sz w:val="18"/>
          </w:rPr>
          <w:t>2</w:t>
        </w:r>
        <w:r w:rsidRPr="007334BA">
          <w:rPr>
            <w:sz w:val="18"/>
          </w:rPr>
          <w:fldChar w:fldCharType="end"/>
        </w:r>
        <w:r w:rsidRPr="007334BA">
          <w:rPr>
            <w:sz w:val="18"/>
          </w:rPr>
          <w:t>/3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C606E" w14:textId="77777777" w:rsidR="00083240" w:rsidRDefault="00083240">
      <w:pPr>
        <w:spacing w:after="0" w:line="240" w:lineRule="auto"/>
      </w:pPr>
      <w:r>
        <w:separator/>
      </w:r>
    </w:p>
  </w:footnote>
  <w:footnote w:type="continuationSeparator" w:id="0">
    <w:p w14:paraId="180A1086" w14:textId="77777777" w:rsidR="00083240" w:rsidRDefault="0008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294E" w14:textId="77777777" w:rsidR="00571650" w:rsidRDefault="00571650">
    <w:pPr>
      <w:pStyle w:val="En-tte"/>
    </w:pPr>
    <w:r>
      <w:rPr>
        <w:noProof/>
      </w:rPr>
      <w:drawing>
        <wp:inline distT="0" distB="0" distL="0" distR="0" wp14:anchorId="1BAF8E71" wp14:editId="38F83B13">
          <wp:extent cx="1573480" cy="693861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A MERCI Montpellier Quadri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679" cy="739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77E3"/>
    <w:multiLevelType w:val="hybridMultilevel"/>
    <w:tmpl w:val="3550AA7A"/>
    <w:lvl w:ilvl="0" w:tplc="8B3ACBC8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A41"/>
    <w:multiLevelType w:val="multilevel"/>
    <w:tmpl w:val="D8D05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8A6E5B"/>
    <w:multiLevelType w:val="hybridMultilevel"/>
    <w:tmpl w:val="CE368D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05440"/>
    <w:multiLevelType w:val="hybridMultilevel"/>
    <w:tmpl w:val="4336D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04FC4"/>
    <w:multiLevelType w:val="hybridMultilevel"/>
    <w:tmpl w:val="28D281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451D"/>
    <w:multiLevelType w:val="hybridMultilevel"/>
    <w:tmpl w:val="79AE82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309F6"/>
    <w:multiLevelType w:val="hybridMultilevel"/>
    <w:tmpl w:val="C960E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37AA3"/>
    <w:multiLevelType w:val="hybridMultilevel"/>
    <w:tmpl w:val="E1203C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BF"/>
    <w:rsid w:val="00002697"/>
    <w:rsid w:val="00002DF9"/>
    <w:rsid w:val="00017459"/>
    <w:rsid w:val="0004292D"/>
    <w:rsid w:val="000429F4"/>
    <w:rsid w:val="000641C4"/>
    <w:rsid w:val="00065901"/>
    <w:rsid w:val="0007329C"/>
    <w:rsid w:val="00082F1A"/>
    <w:rsid w:val="00083240"/>
    <w:rsid w:val="000C2432"/>
    <w:rsid w:val="00160750"/>
    <w:rsid w:val="001625F1"/>
    <w:rsid w:val="001A73B4"/>
    <w:rsid w:val="0021764F"/>
    <w:rsid w:val="002B12E8"/>
    <w:rsid w:val="002B7744"/>
    <w:rsid w:val="002F0678"/>
    <w:rsid w:val="003B2A66"/>
    <w:rsid w:val="003C0B03"/>
    <w:rsid w:val="00410C77"/>
    <w:rsid w:val="0044352B"/>
    <w:rsid w:val="004875BC"/>
    <w:rsid w:val="004C5B00"/>
    <w:rsid w:val="00545541"/>
    <w:rsid w:val="00571650"/>
    <w:rsid w:val="00583EBF"/>
    <w:rsid w:val="00593BCD"/>
    <w:rsid w:val="005A012A"/>
    <w:rsid w:val="005A056B"/>
    <w:rsid w:val="005E295D"/>
    <w:rsid w:val="005E6243"/>
    <w:rsid w:val="005E6E46"/>
    <w:rsid w:val="00615B5E"/>
    <w:rsid w:val="0063237D"/>
    <w:rsid w:val="00657126"/>
    <w:rsid w:val="00713A3D"/>
    <w:rsid w:val="00732891"/>
    <w:rsid w:val="007334BA"/>
    <w:rsid w:val="00735F01"/>
    <w:rsid w:val="00746DAE"/>
    <w:rsid w:val="00755791"/>
    <w:rsid w:val="007B2974"/>
    <w:rsid w:val="007C040F"/>
    <w:rsid w:val="007C0F61"/>
    <w:rsid w:val="007E2CDC"/>
    <w:rsid w:val="00814390"/>
    <w:rsid w:val="00831F28"/>
    <w:rsid w:val="00853549"/>
    <w:rsid w:val="008625BA"/>
    <w:rsid w:val="0088747C"/>
    <w:rsid w:val="008D73B3"/>
    <w:rsid w:val="008E00F6"/>
    <w:rsid w:val="0091547B"/>
    <w:rsid w:val="00926889"/>
    <w:rsid w:val="00960817"/>
    <w:rsid w:val="009778E4"/>
    <w:rsid w:val="009C41C9"/>
    <w:rsid w:val="00A02707"/>
    <w:rsid w:val="00A17553"/>
    <w:rsid w:val="00A17C36"/>
    <w:rsid w:val="00A27BE1"/>
    <w:rsid w:val="00B02782"/>
    <w:rsid w:val="00B45F62"/>
    <w:rsid w:val="00B53ABC"/>
    <w:rsid w:val="00B77BA4"/>
    <w:rsid w:val="00B95F6F"/>
    <w:rsid w:val="00BE43C2"/>
    <w:rsid w:val="00BE61FC"/>
    <w:rsid w:val="00C01422"/>
    <w:rsid w:val="00C53DEF"/>
    <w:rsid w:val="00C74145"/>
    <w:rsid w:val="00CB6381"/>
    <w:rsid w:val="00CD4935"/>
    <w:rsid w:val="00D22701"/>
    <w:rsid w:val="00D95E57"/>
    <w:rsid w:val="00DD375E"/>
    <w:rsid w:val="00DD61D3"/>
    <w:rsid w:val="00DD7001"/>
    <w:rsid w:val="00DE2679"/>
    <w:rsid w:val="00DF4243"/>
    <w:rsid w:val="00E00052"/>
    <w:rsid w:val="00E04E81"/>
    <w:rsid w:val="00E22C59"/>
    <w:rsid w:val="00E40411"/>
    <w:rsid w:val="00E81D97"/>
    <w:rsid w:val="00E94755"/>
    <w:rsid w:val="00EA79FD"/>
    <w:rsid w:val="00EB3EAC"/>
    <w:rsid w:val="00EC6519"/>
    <w:rsid w:val="00F37D14"/>
    <w:rsid w:val="00FB2F92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87AA27"/>
  <w15:chartTrackingRefBased/>
  <w15:docId w15:val="{80536861-EA86-4C89-B0B4-B56CC50A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83EB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8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EBF"/>
  </w:style>
  <w:style w:type="paragraph" w:styleId="Pieddepage">
    <w:name w:val="footer"/>
    <w:basedOn w:val="Normal"/>
    <w:link w:val="PieddepageCar"/>
    <w:uiPriority w:val="99"/>
    <w:unhideWhenUsed/>
    <w:rsid w:val="0058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EBF"/>
  </w:style>
  <w:style w:type="paragraph" w:styleId="Paragraphedeliste">
    <w:name w:val="List Paragraph"/>
    <w:basedOn w:val="Normal"/>
    <w:uiPriority w:val="34"/>
    <w:qFormat/>
    <w:rsid w:val="0058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F8F0-F7CC-4532-B48E-14D784C7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VICENS JORDI</dc:creator>
  <cp:keywords/>
  <dc:description/>
  <cp:lastModifiedBy>VICENS JORDI</cp:lastModifiedBy>
  <cp:revision>3</cp:revision>
  <cp:lastPrinted>2023-09-01T05:55:00Z</cp:lastPrinted>
  <dcterms:created xsi:type="dcterms:W3CDTF">2023-11-27T10:10:00Z</dcterms:created>
  <dcterms:modified xsi:type="dcterms:W3CDTF">2023-11-27T10:31:00Z</dcterms:modified>
</cp:coreProperties>
</file>